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95" w:after="283"/>
        <w:jc w:val="center"/>
        <w:rPr/>
      </w:pPr>
      <w:r>
        <w:rPr/>
      </w:r>
    </w:p>
    <w:tbl>
      <w:tblPr>
        <w:tblW w:w="10205" w:type="dxa"/>
        <w:jc w:val="center"/>
        <w:tblInd w:w="0" w:type="dxa"/>
        <w:tblLayout w:type="fixed"/>
        <w:tblCellMar>
          <w:top w:w="28" w:type="dxa"/>
          <w:left w:w="28" w:type="dxa"/>
          <w:bottom w:w="28" w:type="dxa"/>
          <w:right w:w="28" w:type="dxa"/>
        </w:tblCellMar>
      </w:tblPr>
      <w:tblGrid>
        <w:gridCol w:w="1014"/>
        <w:gridCol w:w="891"/>
        <w:gridCol w:w="891"/>
        <w:gridCol w:w="1180"/>
        <w:gridCol w:w="500"/>
        <w:gridCol w:w="500"/>
        <w:gridCol w:w="781"/>
        <w:gridCol w:w="500"/>
        <w:gridCol w:w="500"/>
        <w:gridCol w:w="783"/>
        <w:gridCol w:w="500"/>
        <w:gridCol w:w="500"/>
        <w:gridCol w:w="500"/>
        <w:gridCol w:w="500"/>
        <w:gridCol w:w="500"/>
        <w:gridCol w:w="165"/>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UNITED STATES</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FORM 10-Q</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One)</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August 1, 2026</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88" w:before="145" w:after="283"/>
              <w:jc w:val="center"/>
              <w:rPr/>
            </w:pPr>
            <w:r>
              <w:rPr>
                <w:rFonts w:ascii="Times New Roman;serif" w:hAnsi="Times New Roman;serif"/>
                <w:b/>
                <w:color w:val="000000"/>
                <w:sz w:val="18"/>
              </w:rPr>
              <w:t>For the transition period from ___________ to ___________</w:t>
            </w:r>
            <w:r>
              <w:rPr>
                <w:rFonts w:ascii="Times New Roman;serif" w:hAnsi="Times New Roman;serif"/>
                <w:b w:val="false"/>
                <w:color w:val="000000"/>
                <w:sz w:val="18"/>
              </w:rPr>
              <w:t>.</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Commission File No. 001-39589</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717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1700" cy="514350"/>
                          </a:xfrm>
                          <a:prstGeom prst="rect">
                            <a:avLst/>
                          </a:prstGeom>
                        </pic:spPr>
                      </pic:pic>
                    </a:graphicData>
                  </a:graphic>
                </wp:inline>
              </w:drawing>
            </w:r>
            <w:bookmarkStart w:id="0" w:name="i-1"/>
            <w:bookmarkEnd w:id="0"/>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Academy Sports and Outdoors, Inc.</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497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85-1800912</w:t>
            </w:r>
          </w:p>
        </w:tc>
        <w:tc>
          <w:tcPr>
            <w:tcW w:w="165" w:type="dxa"/>
            <w:tcBorders/>
          </w:tcPr>
          <w:p>
            <w:pPr>
              <w:pStyle w:val="TableContents"/>
              <w:bidi w:val="0"/>
              <w:spacing w:before="0" w:after="283"/>
              <w:jc w:val="left"/>
              <w:rPr>
                <w:sz w:val="4"/>
                <w:szCs w:val="4"/>
              </w:rPr>
            </w:pPr>
            <w:r>
              <w:rPr>
                <w:sz w:val="4"/>
                <w:szCs w:val="4"/>
              </w:rPr>
            </w:r>
          </w:p>
        </w:tc>
      </w:tr>
      <w:tr>
        <w:trPr/>
        <w:tc>
          <w:tcPr>
            <w:tcW w:w="4976"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18"/>
              </w:rPr>
            </w:pPr>
            <w:r>
              <w:rPr>
                <w:rFonts w:ascii="Times New Roman;serif" w:hAnsi="Times New Roman;serif"/>
                <w:b w:val="false"/>
                <w:i/>
                <w:color w:val="000000"/>
                <w:sz w:val="18"/>
              </w:rPr>
              <w:t xml:space="preserve">(State or other jurisdiction of </w:t>
            </w:r>
          </w:p>
          <w:p>
            <w:pPr>
              <w:pStyle w:val="TableContents"/>
              <w:bidi w:val="0"/>
              <w:spacing w:lineRule="auto" w:line="288" w:before="75" w:after="283"/>
              <w:jc w:val="center"/>
              <w:rPr>
                <w:rFonts w:ascii="Times New Roman;serif" w:hAnsi="Times New Roman;serif"/>
                <w:b w:val="false"/>
                <w:i/>
                <w:color w:val="000000"/>
                <w:sz w:val="18"/>
              </w:rPr>
            </w:pPr>
            <w:r>
              <w:rPr>
                <w:rFonts w:ascii="Times New Roman;serif" w:hAnsi="Times New Roman;serif"/>
                <w:b w:val="false"/>
                <w:i/>
                <w:color w:val="000000"/>
                <w:sz w:val="18"/>
              </w:rPr>
              <w:t>incorporation or organization)</w:t>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r>
          </w:p>
          <w:p>
            <w:pPr>
              <w:pStyle w:val="TableContents"/>
              <w:bidi w:val="0"/>
              <w:spacing w:lineRule="auto" w:line="288" w:before="74" w:after="283"/>
              <w:jc w:val="center"/>
              <w:rPr>
                <w:rFonts w:ascii="Times New Roman;serif" w:hAnsi="Times New Roman;serif"/>
                <w:b w:val="false"/>
                <w:i/>
                <w:color w:val="000000"/>
                <w:sz w:val="18"/>
              </w:rPr>
            </w:pPr>
            <w:r>
              <w:rPr>
                <w:rFonts w:ascii="Times New Roman;serif" w:hAnsi="Times New Roman;serif"/>
                <w:b w:val="false"/>
                <w:i/>
                <w:color w:val="000000"/>
                <w:sz w:val="18"/>
              </w:rPr>
              <w:t>Identification No.)</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1800 North Mason Road</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Katy, Texas 77449</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(Zip Code)</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(281) 646-5200</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(Former name, former address and former fiscal year, if changed since last report)</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c>
          <w:tcPr>
            <w:tcW w:w="165" w:type="dxa"/>
            <w:tcBorders/>
          </w:tcPr>
          <w:p>
            <w:pPr>
              <w:pStyle w:val="TableContents"/>
              <w:bidi w:val="0"/>
              <w:spacing w:before="0" w:after="283"/>
              <w:jc w:val="left"/>
              <w:rPr>
                <w:sz w:val="4"/>
                <w:szCs w:val="4"/>
              </w:rPr>
            </w:pPr>
            <w:r>
              <w:rPr>
                <w:sz w:val="4"/>
                <w:szCs w:val="4"/>
              </w:rPr>
            </w:r>
          </w:p>
        </w:tc>
      </w:tr>
      <w:tr>
        <w:trPr/>
        <w:tc>
          <w:tcPr>
            <w:tcW w:w="49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u w:val="single"/>
              </w:rPr>
            </w:pPr>
            <w:r>
              <w:rPr>
                <w:rFonts w:ascii="Times New Roman;serif" w:hAnsi="Times New Roman;serif"/>
                <w:b/>
                <w:i/>
                <w:color w:val="000000"/>
                <w:sz w:val="18"/>
                <w:u w:val="single"/>
              </w:rPr>
              <w:t>Title of each class</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u w:val="single"/>
              </w:rPr>
            </w:pPr>
            <w:r>
              <w:rPr>
                <w:rFonts w:ascii="Times New Roman;serif" w:hAnsi="Times New Roman;serif"/>
                <w:b/>
                <w:i/>
                <w:color w:val="000000"/>
                <w:sz w:val="18"/>
                <w:u w:val="single"/>
              </w:rPr>
              <w:t>Trading Symbol(s)</w:t>
            </w:r>
          </w:p>
        </w:tc>
        <w:tc>
          <w:tcPr>
            <w:tcW w:w="32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u w:val="single"/>
              </w:rPr>
            </w:pPr>
            <w:r>
              <w:rPr>
                <w:rFonts w:ascii="Times New Roman;serif" w:hAnsi="Times New Roman;serif"/>
                <w:b/>
                <w:i/>
                <w:color w:val="000000"/>
                <w:sz w:val="18"/>
                <w:u w:val="single"/>
              </w:rPr>
              <w:t>Name of each exchange on which registered</w:t>
            </w:r>
          </w:p>
        </w:tc>
        <w:tc>
          <w:tcPr>
            <w:tcW w:w="165" w:type="dxa"/>
            <w:tcBorders/>
          </w:tcPr>
          <w:p>
            <w:pPr>
              <w:pStyle w:val="TableContents"/>
              <w:bidi w:val="0"/>
              <w:spacing w:before="0" w:after="283"/>
              <w:jc w:val="left"/>
              <w:rPr>
                <w:sz w:val="4"/>
                <w:szCs w:val="4"/>
              </w:rPr>
            </w:pPr>
            <w:r>
              <w:rPr>
                <w:sz w:val="4"/>
                <w:szCs w:val="4"/>
              </w:rPr>
            </w:r>
          </w:p>
        </w:tc>
      </w:tr>
      <w:tr>
        <w:trPr/>
        <w:tc>
          <w:tcPr>
            <w:tcW w:w="49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ASO</w:t>
            </w:r>
          </w:p>
        </w:tc>
        <w:tc>
          <w:tcPr>
            <w:tcW w:w="32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vMerge w:val="continue"/>
            <w:tcBorders/>
            <w:tcMar>
              <w:top w:w="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Yes ☑ No ☐</w:t>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vMerge w:val="restart"/>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vMerge w:val="continue"/>
            <w:tcBorders/>
            <w:tcMar>
              <w:top w:w="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Yes ☑ No ☐</w:t>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vMerge w:val="continue"/>
            <w:tcBorders/>
            <w:tcMar>
              <w:top w:w="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 ☑</w:t>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 </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 </w:t>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vMerge w:val="continue"/>
            <w:tcBorders/>
            <w:tcMar>
              <w:top w:w="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tc>
        <w:tc>
          <w:tcPr>
            <w:tcW w:w="165" w:type="dxa"/>
            <w:tcBorders/>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September 2, 2026, Academy Sports and Outdoors, Inc. had 61,578,891 shares of common stock, par value $0.01 per share, outstanding.</w:t>
            </w:r>
          </w:p>
        </w:tc>
        <w:tc>
          <w:tcPr>
            <w:tcW w:w="165"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ACADEMY SPORTS AND OUTDOORS, INC.</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p>
      <w:pPr>
        <w:pStyle w:val="TextBody"/>
        <w:bidi w:val="0"/>
        <w:spacing w:before="0" w:after="0"/>
        <w:jc w:val="center"/>
        <w:rPr/>
      </w:pPr>
      <w:r>
        <w:rPr/>
      </w:r>
    </w:p>
    <w:p>
      <w:pPr>
        <w:pStyle w:val="TextBody"/>
        <w:bidi w:val="0"/>
        <w:spacing w:before="0" w:after="0"/>
        <w:jc w:val="center"/>
        <w:rPr/>
      </w:pPr>
      <w:r>
        <w:rPr/>
      </w:r>
    </w:p>
    <w:tbl>
      <w:tblPr>
        <w:tblW w:w="8520" w:type="dxa"/>
        <w:jc w:val="center"/>
        <w:tblInd w:w="0" w:type="dxa"/>
        <w:tblLayout w:type="fixed"/>
        <w:tblCellMar>
          <w:top w:w="28" w:type="dxa"/>
          <w:left w:w="28" w:type="dxa"/>
          <w:bottom w:w="28" w:type="dxa"/>
          <w:right w:w="28" w:type="dxa"/>
        </w:tblCellMar>
      </w:tblPr>
      <w:tblGrid>
        <w:gridCol w:w="2878"/>
        <w:gridCol w:w="2533"/>
        <w:gridCol w:w="2538"/>
        <w:gridCol w:w="167"/>
        <w:gridCol w:w="167"/>
        <w:gridCol w:w="237"/>
      </w:tblGrid>
      <w:tr>
        <w:trPr/>
        <w:tc>
          <w:tcPr>
            <w:tcW w:w="287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0">
              <w:r>
                <w:rPr>
                  <w:rStyle w:val="InternetLink"/>
                  <w:rFonts w:ascii="Times New Roman;serif" w:hAnsi="Times New Roman;serif"/>
                  <w:b w:val="false"/>
                  <w:color w:val="0000FF"/>
                  <w:sz w:val="20"/>
                  <w:u w:val="single"/>
                </w:rPr>
                <w:t>PART I. FINANCIAL INFORMATION</w:t>
              </w:r>
            </w:hyperlink>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w:anchor="i7860799a9573466ea4a67dbd38e30c43_10">
              <w:r>
                <w:rPr>
                  <w:rStyle w:val="InternetLink"/>
                  <w:rFonts w:ascii="Times New Roman;serif" w:hAnsi="Times New Roman;serif"/>
                  <w:b w:val="false"/>
                  <w:color w:val="0000FF"/>
                  <w:sz w:val="20"/>
                  <w:u w:val="single"/>
                </w:rPr>
                <w:t>3</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3">
              <w:r>
                <w:rPr>
                  <w:rStyle w:val="InternetLink"/>
                  <w:rFonts w:ascii="Times New Roman;serif" w:hAnsi="Times New Roman;serif"/>
                  <w:b w:val="false"/>
                  <w:color w:val="0000FF"/>
                  <w:sz w:val="20"/>
                  <w:u w:val="single"/>
                </w:rPr>
                <w:t>Item 1.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3">
              <w:r>
                <w:rPr>
                  <w:rStyle w:val="InternetLink"/>
                  <w:rFonts w:ascii="Times New Roman;serif" w:hAnsi="Times New Roman;serif"/>
                  <w:b w:val="false"/>
                  <w:color w:val="0000FF"/>
                  <w:sz w:val="20"/>
                  <w:u w:val="single"/>
                </w:rPr>
                <w:t>3</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76">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76">
              <w:r>
                <w:rPr>
                  <w:rStyle w:val="InternetLink"/>
                  <w:rFonts w:ascii="Times New Roman;serif" w:hAnsi="Times New Roman;serif"/>
                  <w:b w:val="false"/>
                  <w:color w:val="0000FF"/>
                  <w:sz w:val="20"/>
                  <w:u w:val="single"/>
                </w:rPr>
                <w:t>18</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03">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03">
              <w:r>
                <w:rPr>
                  <w:rStyle w:val="InternetLink"/>
                  <w:rFonts w:ascii="Times New Roman;serif" w:hAnsi="Times New Roman;serif"/>
                  <w:b w:val="false"/>
                  <w:color w:val="0000FF"/>
                  <w:sz w:val="20"/>
                  <w:u w:val="single"/>
                </w:rPr>
                <w:t>33</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06">
              <w:r>
                <w:rPr>
                  <w:rStyle w:val="InternetLink"/>
                  <w:rFonts w:ascii="Times New Roman;serif" w:hAnsi="Times New Roman;serif"/>
                  <w:b w:val="false"/>
                  <w:color w:val="0000FF"/>
                  <w:sz w:val="20"/>
                  <w:u w:val="single"/>
                </w:rPr>
                <w:t>Item 4. 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06">
              <w:r>
                <w:rPr>
                  <w:rStyle w:val="InternetLink"/>
                  <w:rFonts w:ascii="Times New Roman;serif" w:hAnsi="Times New Roman;serif"/>
                  <w:b w:val="false"/>
                  <w:color w:val="0000FF"/>
                  <w:sz w:val="20"/>
                  <w:u w:val="single"/>
                </w:rPr>
                <w:t>34</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09">
              <w:r>
                <w:rPr>
                  <w:rStyle w:val="InternetLink"/>
                  <w:rFonts w:ascii="Times New Roman;serif" w:hAnsi="Times New Roman;serif"/>
                  <w:b w:val="false"/>
                  <w:color w:val="0000FF"/>
                  <w:sz w:val="20"/>
                  <w:u w:val="single"/>
                </w:rPr>
                <w:t>PART II.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09">
              <w:r>
                <w:rPr>
                  <w:rStyle w:val="InternetLink"/>
                  <w:rFonts w:ascii="Times New Roman;serif" w:hAnsi="Times New Roman;serif"/>
                  <w:b w:val="false"/>
                  <w:color w:val="0000FF"/>
                  <w:sz w:val="20"/>
                  <w:u w:val="single"/>
                </w:rPr>
                <w:t>35</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12">
              <w:r>
                <w:rPr>
                  <w:rStyle w:val="InternetLink"/>
                  <w:rFonts w:ascii="Times New Roman;serif" w:hAnsi="Times New Roman;serif"/>
                  <w:b w:val="false"/>
                  <w:color w:val="0000FF"/>
                  <w:sz w:val="20"/>
                  <w:u w:val="single"/>
                </w:rPr>
                <w:t>Item 1. 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12">
              <w:r>
                <w:rPr>
                  <w:rStyle w:val="InternetLink"/>
                  <w:rFonts w:ascii="Times New Roman;serif" w:hAnsi="Times New Roman;serif"/>
                  <w:b w:val="false"/>
                  <w:color w:val="0000FF"/>
                  <w:sz w:val="20"/>
                  <w:u w:val="single"/>
                </w:rPr>
                <w:t>35</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15">
              <w:r>
                <w:rPr>
                  <w:rStyle w:val="InternetLink"/>
                  <w:rFonts w:ascii="Times New Roman;serif" w:hAnsi="Times New Roman;serif"/>
                  <w:b w:val="false"/>
                  <w:color w:val="0000FF"/>
                  <w:sz w:val="20"/>
                  <w:u w:val="single"/>
                </w:rPr>
                <w:t>Item 1A. 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15">
              <w:r>
                <w:rPr>
                  <w:rStyle w:val="InternetLink"/>
                  <w:rFonts w:ascii="Times New Roman;serif" w:hAnsi="Times New Roman;serif"/>
                  <w:b w:val="false"/>
                  <w:color w:val="0000FF"/>
                  <w:sz w:val="20"/>
                  <w:u w:val="single"/>
                </w:rPr>
                <w:t>35</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18">
              <w:r>
                <w:rPr>
                  <w:rStyle w:val="InternetLink"/>
                  <w:rFonts w:ascii="Times New Roman;serif" w:hAnsi="Times New Roman;serif"/>
                  <w:b w:val="false"/>
                  <w:color w:val="0000FF"/>
                  <w:sz w:val="20"/>
                  <w:u w:val="single"/>
                </w:rPr>
                <w:t>Item 2. 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18">
              <w:r>
                <w:rPr>
                  <w:rStyle w:val="InternetLink"/>
                  <w:rFonts w:ascii="Times New Roman;serif" w:hAnsi="Times New Roman;serif"/>
                  <w:b w:val="false"/>
                  <w:color w:val="0000FF"/>
                  <w:sz w:val="20"/>
                  <w:u w:val="single"/>
                </w:rPr>
                <w:t>36</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21">
              <w:r>
                <w:rPr>
                  <w:rStyle w:val="InternetLink"/>
                  <w:rFonts w:ascii="Times New Roman;serif" w:hAnsi="Times New Roman;serif"/>
                  <w:b w:val="false"/>
                  <w:color w:val="0000FF"/>
                  <w:sz w:val="20"/>
                  <w:u w:val="single"/>
                </w:rPr>
                <w:t>Item 3. 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21">
              <w:r>
                <w:rPr>
                  <w:rStyle w:val="InternetLink"/>
                  <w:rFonts w:ascii="Times New Roman;serif" w:hAnsi="Times New Roman;serif"/>
                  <w:b w:val="false"/>
                  <w:color w:val="0000FF"/>
                  <w:sz w:val="20"/>
                  <w:u w:val="single"/>
                </w:rPr>
                <w:t>36</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24">
              <w:r>
                <w:rPr>
                  <w:rStyle w:val="InternetLink"/>
                  <w:rFonts w:ascii="Times New Roman;serif" w:hAnsi="Times New Roman;serif"/>
                  <w:b w:val="false"/>
                  <w:color w:val="0000FF"/>
                  <w:sz w:val="20"/>
                  <w:u w:val="single"/>
                </w:rPr>
                <w:t>Item 4. 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24">
              <w:r>
                <w:rPr>
                  <w:rStyle w:val="InternetLink"/>
                  <w:rFonts w:ascii="Times New Roman;serif" w:hAnsi="Times New Roman;serif"/>
                  <w:b w:val="false"/>
                  <w:color w:val="0000FF"/>
                  <w:sz w:val="20"/>
                  <w:u w:val="single"/>
                </w:rPr>
                <w:t>36</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27">
              <w:r>
                <w:rPr>
                  <w:rStyle w:val="InternetLink"/>
                  <w:rFonts w:ascii="Times New Roman;serif" w:hAnsi="Times New Roman;serif"/>
                  <w:b w:val="false"/>
                  <w:color w:val="0000FF"/>
                  <w:sz w:val="20"/>
                  <w:u w:val="single"/>
                </w:rPr>
                <w:t>Item 5.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27">
              <w:r>
                <w:rPr>
                  <w:rStyle w:val="InternetLink"/>
                  <w:rFonts w:ascii="Times New Roman;serif" w:hAnsi="Times New Roman;serif"/>
                  <w:b w:val="false"/>
                  <w:color w:val="0000FF"/>
                  <w:sz w:val="20"/>
                  <w:u w:val="single"/>
                </w:rPr>
                <w:t>36</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30">
              <w:r>
                <w:rPr>
                  <w:rStyle w:val="InternetLink"/>
                  <w:rFonts w:ascii="Times New Roman;serif" w:hAnsi="Times New Roman;serif"/>
                  <w:b w:val="false"/>
                  <w:color w:val="0000FF"/>
                  <w:sz w:val="20"/>
                  <w:u w:val="single"/>
                </w:rPr>
                <w:t>Item 6. 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30">
              <w:r>
                <w:rPr>
                  <w:rStyle w:val="InternetLink"/>
                  <w:rFonts w:ascii="Times New Roman;serif" w:hAnsi="Times New Roman;serif"/>
                  <w:b w:val="false"/>
                  <w:color w:val="0000FF"/>
                  <w:sz w:val="20"/>
                  <w:u w:val="single"/>
                </w:rPr>
                <w:t>37</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860799a9573466ea4a67dbd38e30c43_133">
              <w:r>
                <w:rPr>
                  <w:rStyle w:val="InternetLink"/>
                  <w:rFonts w:ascii="Times New Roman;serif" w:hAnsi="Times New Roman;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860799a9573466ea4a67dbd38e30c43_133">
              <w:r>
                <w:rPr>
                  <w:rStyle w:val="InternetLink"/>
                  <w:rFonts w:ascii="Times New Roman;serif" w:hAnsi="Times New Roman;serif"/>
                  <w:b w:val="false"/>
                  <w:color w:val="0000FF"/>
                  <w:sz w:val="20"/>
                  <w:u w:val="single"/>
                </w:rPr>
                <w:t>38</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ACADEMY SPORTS AND OUTDOORS,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 amounts in thousands, except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35"/>
        <w:gridCol w:w="1469"/>
        <w:gridCol w:w="1481"/>
        <w:gridCol w:w="109"/>
        <w:gridCol w:w="109"/>
        <w:gridCol w:w="109"/>
        <w:gridCol w:w="212"/>
        <w:gridCol w:w="997"/>
        <w:gridCol w:w="109"/>
        <w:gridCol w:w="109"/>
        <w:gridCol w:w="109"/>
        <w:gridCol w:w="109"/>
        <w:gridCol w:w="222"/>
        <w:gridCol w:w="1026"/>
        <w:gridCol w:w="114"/>
        <w:gridCol w:w="109"/>
        <w:gridCol w:w="109"/>
        <w:gridCol w:w="109"/>
        <w:gridCol w:w="212"/>
        <w:gridCol w:w="985"/>
        <w:gridCol w:w="162"/>
      </w:tblGrid>
      <w:tr>
        <w:trPr/>
        <w:tc>
          <w:tcPr>
            <w:tcW w:w="223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2, 2025</w:t>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298,213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330,320 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300,860 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Accounts receivable - less allowance for doubtful accounts of $1,592, $1,792 and $1,874,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Merchandise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1,657,442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1,503,756 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1,587,624 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89,897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82,457 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78,257 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2,071,464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1,954,245 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1,985,922 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631,834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584,103 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584,045 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1,292,724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1,234,246 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1,206,207 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579,972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579,766 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579,330 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861,920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861,920 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861,920 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70,234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62,756 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5,508,148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5,277,036 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5,275,983 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751,560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637,854 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803,309 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302,513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243,908 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266,021 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134,390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147,491 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139,678 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1,188,463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1,032,253 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1,212,008 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494,158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480,793 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481,738 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1,340,337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1,261,167 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1,217,217 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285,589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300,654 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270,502 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3,329,715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3,105,659 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3,200,833 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$0.01 par value, authorized 50,000,000 shares; none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Common stock, $0.01 par value, authorized 300,000,000 shares; 62,028,664; 64,945,953 and 66,625,266 issued and outstanding as of August 1, 2026, January 31, 2026 and August 2,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258,973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256,351 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255,517 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1,918,840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1,914,377 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1,818,967 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2,178,433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2,171,377 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2,075,150 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5,508,148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5,277,036 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5,275,983 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ACADEMY SPORTS AND OUTDOORS,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(Amounts in thousands, except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46"/>
        <w:gridCol w:w="1186"/>
        <w:gridCol w:w="1011"/>
        <w:gridCol w:w="109"/>
        <w:gridCol w:w="109"/>
        <w:gridCol w:w="109"/>
        <w:gridCol w:w="214"/>
        <w:gridCol w:w="1006"/>
        <w:gridCol w:w="110"/>
        <w:gridCol w:w="109"/>
        <w:gridCol w:w="109"/>
        <w:gridCol w:w="109"/>
        <w:gridCol w:w="215"/>
        <w:gridCol w:w="996"/>
        <w:gridCol w:w="111"/>
        <w:gridCol w:w="109"/>
        <w:gridCol w:w="109"/>
        <w:gridCol w:w="109"/>
        <w:gridCol w:w="214"/>
        <w:gridCol w:w="1006"/>
        <w:gridCol w:w="110"/>
        <w:gridCol w:w="109"/>
        <w:gridCol w:w="109"/>
        <w:gridCol w:w="109"/>
        <w:gridCol w:w="215"/>
        <w:gridCol w:w="996"/>
        <w:gridCol w:w="161"/>
      </w:tblGrid>
      <w:tr>
        <w:trPr/>
        <w:tc>
          <w:tcPr>
            <w:tcW w:w="1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1,647,285</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3,089,288</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2,951,247 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981,383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1,944,038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665,902</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576,733 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1,145,250</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1,035,602 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419,539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824,232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246,363</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321,018</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241,646 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17,043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RETIREMENT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58,006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54,785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178,399</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164,833 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247,288</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40,502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56,688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137,897</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190,600</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62,292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63,362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63,551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64,892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ACADEMY SPORTS AND OUTDOORS,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(Amounts in thousands, except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23"/>
        <w:gridCol w:w="653"/>
        <w:gridCol w:w="655"/>
        <w:gridCol w:w="109"/>
        <w:gridCol w:w="109"/>
        <w:gridCol w:w="109"/>
        <w:gridCol w:w="368"/>
        <w:gridCol w:w="368"/>
        <w:gridCol w:w="226"/>
        <w:gridCol w:w="109"/>
        <w:gridCol w:w="109"/>
        <w:gridCol w:w="109"/>
        <w:gridCol w:w="211"/>
        <w:gridCol w:w="481"/>
        <w:gridCol w:w="109"/>
        <w:gridCol w:w="109"/>
        <w:gridCol w:w="109"/>
        <w:gridCol w:w="109"/>
        <w:gridCol w:w="222"/>
        <w:gridCol w:w="886"/>
        <w:gridCol w:w="114"/>
        <w:gridCol w:w="109"/>
        <w:gridCol w:w="109"/>
        <w:gridCol w:w="109"/>
        <w:gridCol w:w="225"/>
        <w:gridCol w:w="1061"/>
        <w:gridCol w:w="116"/>
        <w:gridCol w:w="109"/>
        <w:gridCol w:w="109"/>
        <w:gridCol w:w="109"/>
        <w:gridCol w:w="109"/>
        <w:gridCol w:w="109"/>
        <w:gridCol w:w="253"/>
        <w:gridCol w:w="1189"/>
        <w:gridCol w:w="192"/>
      </w:tblGrid>
      <w:tr>
        <w:trPr/>
        <w:tc>
          <w:tcPr>
            <w:tcW w:w="10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64,946</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256,351</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1,914,377</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2,171,377</w:t>
            </w:r>
            <w:r>
              <w:rPr>
                <w:color w:val="000000"/>
              </w:rPr>
              <w:t>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for retirement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(99,257)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vested Restricted Stock Units,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$0.15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May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63,507</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254,512</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1,865,819</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2,120,966</w:t>
            </w:r>
            <w:r>
              <w:rPr>
                <w:color w:val="000000"/>
              </w:rPr>
              <w:t>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137,897</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137,897</w:t>
            </w:r>
            <w:r>
              <w:rPr>
                <w:color w:val="000000"/>
              </w:rPr>
              <w:t>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9,319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9,319</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for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(75,566)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(82,884)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vested Restricted Stock Units,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2,828</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declared, $0.15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(9,310)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August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62,029</w:t>
            </w:r>
            <w:r>
              <w:rPr>
                <w:color w:val="000000"/>
              </w:rPr>
              <w:t>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258,973</w:t>
            </w:r>
            <w:r>
              <w:rPr>
                <w:color w:val="000000"/>
              </w:rPr>
              <w:t>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1,918,840</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2,178,433</w:t>
            </w:r>
            <w:r>
              <w:rPr>
                <w:color w:val="000000"/>
              </w:rPr>
              <w:t>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ACADEMY SPORTS AND OUTDOORS,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(Amounts in thousands, except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67"/>
        <w:gridCol w:w="625"/>
        <w:gridCol w:w="629"/>
        <w:gridCol w:w="109"/>
        <w:gridCol w:w="109"/>
        <w:gridCol w:w="109"/>
        <w:gridCol w:w="360"/>
        <w:gridCol w:w="361"/>
        <w:gridCol w:w="226"/>
        <w:gridCol w:w="109"/>
        <w:gridCol w:w="109"/>
        <w:gridCol w:w="109"/>
        <w:gridCol w:w="211"/>
        <w:gridCol w:w="466"/>
        <w:gridCol w:w="109"/>
        <w:gridCol w:w="109"/>
        <w:gridCol w:w="109"/>
        <w:gridCol w:w="109"/>
        <w:gridCol w:w="221"/>
        <w:gridCol w:w="869"/>
        <w:gridCol w:w="114"/>
        <w:gridCol w:w="109"/>
        <w:gridCol w:w="109"/>
        <w:gridCol w:w="109"/>
        <w:gridCol w:w="225"/>
        <w:gridCol w:w="1041"/>
        <w:gridCol w:w="116"/>
        <w:gridCol w:w="109"/>
        <w:gridCol w:w="109"/>
        <w:gridCol w:w="109"/>
        <w:gridCol w:w="109"/>
        <w:gridCol w:w="109"/>
        <w:gridCol w:w="109"/>
        <w:gridCol w:w="109"/>
        <w:gridCol w:w="249"/>
        <w:gridCol w:w="1156"/>
        <w:gridCol w:w="189"/>
      </w:tblGrid>
      <w:tr>
        <w:trPr/>
        <w:tc>
          <w:tcPr>
            <w:tcW w:w="96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February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247,094 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1,756,258 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2,004,035 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46,084 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for retirement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vested Restricted Stock Units,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$0.13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May 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66,466 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244,388 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1,702,182 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1,947,232 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125,434 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for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vested Restricted Stock Units,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$0.13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August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66,625 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255,517 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1,818,967 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2,075,150 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ACADEMY SPORTS AND OUTDOORS,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0148" w:type="dxa"/>
        <w:jc w:val="center"/>
        <w:tblInd w:w="0" w:type="dxa"/>
        <w:tblLayout w:type="fixed"/>
        <w:tblCellMar>
          <w:top w:w="28" w:type="dxa"/>
          <w:left w:w="28" w:type="dxa"/>
          <w:bottom w:w="28" w:type="dxa"/>
          <w:right w:w="28" w:type="dxa"/>
        </w:tblCellMar>
      </w:tblPr>
      <w:tblGrid>
        <w:gridCol w:w="2444"/>
        <w:gridCol w:w="2147"/>
        <w:gridCol w:w="2159"/>
        <w:gridCol w:w="109"/>
        <w:gridCol w:w="109"/>
        <w:gridCol w:w="109"/>
        <w:gridCol w:w="245"/>
        <w:gridCol w:w="978"/>
        <w:gridCol w:w="126"/>
        <w:gridCol w:w="109"/>
        <w:gridCol w:w="109"/>
        <w:gridCol w:w="109"/>
        <w:gridCol w:w="247"/>
        <w:gridCol w:w="968"/>
        <w:gridCol w:w="180"/>
      </w:tblGrid>
      <w:tr>
        <w:trPr/>
        <w:tc>
          <w:tcPr>
            <w:tcW w:w="2444"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190,600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61,205</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7,591</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20,419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loan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1,305</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(15,065)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retirement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tariff refund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61,759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(153,686)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(278,784)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116,027</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21,534</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46,991</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841</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349,022</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236,047 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(111,258)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(111,464)</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(107,899)</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(85,750)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500,000</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(400,000)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(9,364)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2,828</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(6,499)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for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(180,505)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(99,031)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Remittance of tariff refund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(72,224)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(269,665)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(116,217)</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(32,107)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330,320</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288,929 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298,213</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300,860 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16,119</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23,902</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8,047</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135,376</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ACADEMY SPORTS AND OUTDOORS,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1. Nature of Operations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the lessee of the Company’s facilities. Our fiscal year represents the 52 or 53 weeks ending on the Saturday closest to January 31.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Company is a leading full-line sporting goods and outdoor recreation retailer in the United States in terms of net sales. As of August 1, 2026, we operated 327 “Academy Sports + Outdoors” retail locations in 21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serif" w:hAnsi="Times New Roman;serif"/>
          <w:b w:val="false"/>
          <w:i/>
          <w:color w:val="000000"/>
          <w:sz w:val="20"/>
        </w:rPr>
        <w:t>academy.com</w:t>
      </w:r>
      <w:r>
        <w:rPr>
          <w:color w:val="000000"/>
        </w:rPr>
        <w:t xml:space="preserve"> </w:t>
      </w:r>
      <w:r>
        <w:rPr>
          <w:rFonts w:ascii="Times New Roman;serif" w:hAnsi="Times New Roman;serif"/>
          <w:b w:val="false"/>
          <w:color w:val="000000"/>
          <w:sz w:val="20"/>
        </w:rPr>
        <w:t xml:space="preserve">website and our mobile app.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31, 2026, as filed with the Securities and Exchange Commission (the “SEC”) on March 17, 2026 (the “Annual Report”). The information furnished herein reflects all normal recurring adjustments which are, in the opinion of management, necessary for a fair presentation of the results for the interim periods presented. The results of operations for the thirteen and twenty-six weeks ended August 1, 2026 are not necessarily indicative of the results that will be realized for the fiscal year ending January 30, 2027 or any other period. The balance sheet as of January 31, 2026 has been derived from our audited financial statements as of that date. For further information, refer to our audited financial statements and notes thereto included in the Annual Report.</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include the accounts of ASO, Inc. and its subsidiaries, New Academy Holding Company, LLC (“NAHC”), Academy Managing Co., L.L.C., Associated Investors, L.L.C., Academy, Ltd., the Company’s operating company, Academy International Limited, Mason Creek Insurance Co., LLC, and Academy Procurement Co., LLC. NAHC, Academy Managing Co., LLC, and Associated Investors, LLC are intermediate holding companies. All intercompany balances and transactions have been eliminated in consolidation.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 in the Preparation of Financial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On December 4, 2024, the Company’s Board of Directors approved a share repurchase program authorizing the repurchase of up to $700 million of its outstanding shares through December 4, 2027 (the “2024 Share Repurchase Program”), which replaced the prior program. Repurchases may be effected from time to time through open market purchases, block trades, privately negotiated purchases, accelerated share repurchase programs, and/or Rule 10b5-1 plans, or other discretionary trading plans, all in compliance with the rules of the SEC and other applicable legal requirements. The timing, manner, price and amount of repurchases will depend on market conditions, share price and other factors. The 2024 Share Repurchase Program does not require the Company to repurchase any specific number of shares, and may be suspended, modified or discontinued at any time.</w:t>
      </w:r>
      <w:r>
        <w:rPr>
          <w:color w:val="000000"/>
        </w:rPr>
        <w:t xml:space="preserve"> </w:t>
      </w:r>
    </w:p>
    <w:p>
      <w:pPr>
        <w:pStyle w:val="TextBody"/>
        <w:bidi w:val="0"/>
        <w:spacing w:lineRule="auto" w:line="288" w:before="180" w:after="283"/>
        <w:ind w:left="0" w:right="0" w:firstLine="44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share repurchases for the periods presented:</w:t>
      </w:r>
    </w:p>
    <w:tbl>
      <w:tblPr>
        <w:tblW w:w="10205" w:type="dxa"/>
        <w:jc w:val="left"/>
        <w:tblInd w:w="0" w:type="dxa"/>
        <w:tblLayout w:type="fixed"/>
        <w:tblCellMar>
          <w:top w:w="28" w:type="dxa"/>
          <w:left w:w="28" w:type="dxa"/>
          <w:bottom w:w="28" w:type="dxa"/>
          <w:right w:w="28" w:type="dxa"/>
        </w:tblCellMar>
      </w:tblPr>
      <w:tblGrid>
        <w:gridCol w:w="1069"/>
        <w:gridCol w:w="939"/>
        <w:gridCol w:w="943"/>
        <w:gridCol w:w="130"/>
        <w:gridCol w:w="130"/>
        <w:gridCol w:w="130"/>
        <w:gridCol w:w="405"/>
        <w:gridCol w:w="891"/>
        <w:gridCol w:w="166"/>
        <w:gridCol w:w="134"/>
        <w:gridCol w:w="134"/>
        <w:gridCol w:w="134"/>
        <w:gridCol w:w="355"/>
        <w:gridCol w:w="683"/>
        <w:gridCol w:w="183"/>
        <w:gridCol w:w="130"/>
        <w:gridCol w:w="130"/>
        <w:gridCol w:w="130"/>
        <w:gridCol w:w="359"/>
        <w:gridCol w:w="947"/>
        <w:gridCol w:w="156"/>
        <w:gridCol w:w="134"/>
        <w:gridCol w:w="134"/>
        <w:gridCol w:w="134"/>
        <w:gridCol w:w="403"/>
        <w:gridCol w:w="868"/>
        <w:gridCol w:w="254"/>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2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1,608,528</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3,311,559</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2,080,772 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Aggregate amount paid (amounts in millions) </w:t>
            </w:r>
            <w:r>
              <w:rPr>
                <w:rFonts w:ascii="Times New Roman;serif" w:hAnsi="Times New Roman;serif"/>
                <w:b w:val="false"/>
                <w:color w:val="000000"/>
                <w:sz w:val="13"/>
              </w:rPr>
              <w:t>(1)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excise tax fees of $0.8 million and $1.6 million for the thirteen and twenty-six weeks ended August 1, 2026, respectively, and $0.0 million and $0.9 million for the thirteen and twenty-six weeks ended August 2, 2025, respectively.</w:t>
            </w:r>
          </w:p>
        </w:tc>
      </w:tr>
    </w:tbl>
    <w:p>
      <w:pPr>
        <w:pStyle w:val="TextBody"/>
        <w:bidi w:val="0"/>
        <w:spacing w:lineRule="auto" w:line="288" w:before="180" w:after="283"/>
        <w:ind w:left="0" w:right="0" w:firstLine="446"/>
        <w:jc w:val="both"/>
        <w:rPr>
          <w:rFonts w:ascii="Times New Roman;serif" w:hAnsi="Times New Roman;serif"/>
          <w:b w:val="false"/>
          <w:color w:val="000000"/>
          <w:sz w:val="20"/>
        </w:rPr>
      </w:pPr>
      <w:r>
        <w:rPr>
          <w:rFonts w:ascii="Times New Roman;serif" w:hAnsi="Times New Roman;serif"/>
          <w:b w:val="false"/>
          <w:color w:val="000000"/>
          <w:sz w:val="20"/>
        </w:rPr>
        <w:t>As of August 1, 2026, we had $256.1 million available for share repurchases pursuant to the 2024 Share Repurchase Program.</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The requirements will be applied prospectively with the option for retrospective application. The Company is evaluating the impact of adopting ASU 2024-03 on its consolidated financial statements.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requires removal of all references to prescriptive and sequential software development stages. The new guidance is effective for annual reporting periods beginning after December 15, 2027, and interim reporting periods within those annual reporting periods, and should be applied on a prospective transition approach, a modified transition approach, or a retrospective transition approach. The Company is evaluating the impact of adopting ASU 2025-06 on its consolidated financial statements.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provides clarification of current interim disclosure requirements. The new guidance is effective for interim reporting periods within annual reporting periods beginning after December 15, 2027, and should be applied either prospectively or retrospectively to periods presented. The Company is evaluating the impact of adopting ASU 2025-11 on its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3. Net Sales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approximate amount of sales by merchandise divisions for the periods presented (amounts in thousands):</w:t>
      </w:r>
    </w:p>
    <w:tbl>
      <w:tblPr>
        <w:tblW w:w="9076" w:type="dxa"/>
        <w:jc w:val="left"/>
        <w:tblInd w:w="0" w:type="dxa"/>
        <w:tblLayout w:type="fixed"/>
        <w:tblCellMar>
          <w:top w:w="28" w:type="dxa"/>
          <w:left w:w="28" w:type="dxa"/>
          <w:bottom w:w="28" w:type="dxa"/>
          <w:right w:w="28" w:type="dxa"/>
        </w:tblCellMar>
      </w:tblPr>
      <w:tblGrid>
        <w:gridCol w:w="842"/>
        <w:gridCol w:w="740"/>
        <w:gridCol w:w="742"/>
        <w:gridCol w:w="109"/>
        <w:gridCol w:w="109"/>
        <w:gridCol w:w="109"/>
        <w:gridCol w:w="217"/>
        <w:gridCol w:w="1021"/>
        <w:gridCol w:w="112"/>
        <w:gridCol w:w="109"/>
        <w:gridCol w:w="109"/>
        <w:gridCol w:w="109"/>
        <w:gridCol w:w="219"/>
        <w:gridCol w:w="1017"/>
        <w:gridCol w:w="113"/>
        <w:gridCol w:w="109"/>
        <w:gridCol w:w="109"/>
        <w:gridCol w:w="109"/>
        <w:gridCol w:w="217"/>
        <w:gridCol w:w="1021"/>
        <w:gridCol w:w="112"/>
        <w:gridCol w:w="109"/>
        <w:gridCol w:w="109"/>
        <w:gridCol w:w="109"/>
        <w:gridCol w:w="219"/>
        <w:gridCol w:w="1016"/>
        <w:gridCol w:w="160"/>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division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Outdoors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468,630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895,981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Sports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393,144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749,089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451,857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800,206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Footwear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319,926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620,736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merchandise sales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1,633,557</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1,593,092 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3,066,012</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2,936,045 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sales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13,728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23,276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1,647,285</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1,599,838 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3,089,288</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2,951,247 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6"/>
        </w:rPr>
        <w:t>(1) E-commerce sales represented 12.1% and 11.6% of merchandise sales for the thirteen and twenty-six weeks ended August 1, 2026, respectively, and 10.9%</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6"/>
        </w:rPr>
        <w:t>10.5% for the thirteen and twenty-six weeks</w:t>
      </w:r>
      <w:r>
        <w:rPr>
          <w:color w:val="000000"/>
        </w:rPr>
        <w:t xml:space="preserve"> </w:t>
      </w:r>
      <w:r>
        <w:rPr>
          <w:rFonts w:ascii="Times New Roman;serif" w:hAnsi="Times New Roman;serif"/>
          <w:b w:val="false"/>
          <w:color w:val="000000"/>
          <w:sz w:val="16"/>
        </w:rPr>
        <w:t>ended August 2, 2025, respectively.</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Other sales consisted primarily of credit card income from our agreement for co-branded and private label credit cards, shipping income, gift card breakage income, sales return allowance and other items.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gift cards in stores, online and in third-party retail locations. The gift cards we sell have no expiration dates. A liability for gift cards, which is recorded in Accrued Expenses and Other Current Liabilities on our Condensed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gift card liability (amounts in thousands):</w:t>
      </w:r>
    </w:p>
    <w:tbl>
      <w:tblPr>
        <w:tblW w:w="9988" w:type="dxa"/>
        <w:jc w:val="left"/>
        <w:tblInd w:w="0" w:type="dxa"/>
        <w:tblLayout w:type="fixed"/>
        <w:tblCellMar>
          <w:top w:w="28" w:type="dxa"/>
          <w:left w:w="28" w:type="dxa"/>
          <w:bottom w:w="28" w:type="dxa"/>
          <w:right w:w="28" w:type="dxa"/>
        </w:tblCellMar>
      </w:tblPr>
      <w:tblGrid>
        <w:gridCol w:w="1171"/>
        <w:gridCol w:w="1032"/>
        <w:gridCol w:w="1036"/>
        <w:gridCol w:w="109"/>
        <w:gridCol w:w="109"/>
        <w:gridCol w:w="109"/>
        <w:gridCol w:w="269"/>
        <w:gridCol w:w="941"/>
        <w:gridCol w:w="139"/>
        <w:gridCol w:w="109"/>
        <w:gridCol w:w="109"/>
        <w:gridCol w:w="109"/>
        <w:gridCol w:w="273"/>
        <w:gridCol w:w="935"/>
        <w:gridCol w:w="141"/>
        <w:gridCol w:w="109"/>
        <w:gridCol w:w="109"/>
        <w:gridCol w:w="109"/>
        <w:gridCol w:w="269"/>
        <w:gridCol w:w="941"/>
        <w:gridCol w:w="139"/>
        <w:gridCol w:w="109"/>
        <w:gridCol w:w="109"/>
        <w:gridCol w:w="109"/>
        <w:gridCol w:w="271"/>
        <w:gridCol w:w="926"/>
        <w:gridCol w:w="197"/>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Gift card liability, 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88,590</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99,558</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96,469 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30,882</w:t>
            </w: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29,355 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52,753</w:t>
            </w: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49,264 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(32,623)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(64,320)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as breakage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Gift card liability,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85,408</w:t>
            </w:r>
            <w:r>
              <w:rPr>
                <w:color w:val="000000"/>
              </w:rPr>
              <w:t>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81,778 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85,408</w:t>
            </w:r>
            <w:r>
              <w:rPr>
                <w:color w:val="000000"/>
              </w:rPr>
              <w:t>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81,778 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4. Long-Term Debt</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debt consisted of the following (amounts in thousands) as of:</w:t>
      </w:r>
    </w:p>
    <w:tbl>
      <w:tblPr>
        <w:tblW w:w="8794" w:type="dxa"/>
        <w:jc w:val="left"/>
        <w:tblInd w:w="0" w:type="dxa"/>
        <w:tblLayout w:type="fixed"/>
        <w:tblCellMar>
          <w:top w:w="28" w:type="dxa"/>
          <w:left w:w="28" w:type="dxa"/>
          <w:bottom w:w="28" w:type="dxa"/>
          <w:right w:w="28" w:type="dxa"/>
        </w:tblCellMar>
      </w:tblPr>
      <w:tblGrid>
        <w:gridCol w:w="1260"/>
        <w:gridCol w:w="1106"/>
        <w:gridCol w:w="1114"/>
        <w:gridCol w:w="109"/>
        <w:gridCol w:w="109"/>
        <w:gridCol w:w="109"/>
        <w:gridCol w:w="245"/>
        <w:gridCol w:w="978"/>
        <w:gridCol w:w="126"/>
        <w:gridCol w:w="109"/>
        <w:gridCol w:w="109"/>
        <w:gridCol w:w="109"/>
        <w:gridCol w:w="292"/>
        <w:gridCol w:w="1146"/>
        <w:gridCol w:w="151"/>
        <w:gridCol w:w="109"/>
        <w:gridCol w:w="109"/>
        <w:gridCol w:w="109"/>
        <w:gridCol w:w="247"/>
        <w:gridCol w:w="968"/>
        <w:gridCol w:w="180"/>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ABL Facility, due May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(repaid 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Notes (redeemed 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May 2031 (issued 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500,000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500,000</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485,750 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487,250 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on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deferred loan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494,158</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480,793 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481,738 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(1) Deferred loan costs are related to the Notes, Term Loan and 2020 Notes.</w:t>
      </w:r>
    </w:p>
    <w:p>
      <w:pPr>
        <w:pStyle w:val="TextBody"/>
        <w:bidi w:val="0"/>
        <w:spacing w:lineRule="auto" w:line="288" w:before="180" w:after="283"/>
        <w:ind w:left="0" w:right="0" w:firstLine="360"/>
        <w:jc w:val="both"/>
        <w:rPr>
          <w:rFonts w:ascii="Times New Roman;serif" w:hAnsi="Times New Roman;serif"/>
          <w:b/>
          <w:i/>
          <w:color w:val="000000"/>
          <w:sz w:val="20"/>
          <w:u w:val="single"/>
        </w:rPr>
      </w:pPr>
      <w:r>
        <w:rPr>
          <w:rFonts w:ascii="Times New Roman;serif" w:hAnsi="Times New Roman;serif"/>
          <w:b/>
          <w:i/>
          <w:color w:val="000000"/>
          <w:sz w:val="20"/>
          <w:u w:val="single"/>
        </w:rPr>
        <w:t>ABL Facility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Academy, Ltd., as borrower, and certain of the Company’s wholly-owned subsidiaries, as guarantors, entered into an amendment to its asset-based revolving $1 billion credit facility, dated May 14, 2026 (as amended to date, the “ABL Facility”), with JPMorgan Chase Bank, N.A., as the administrative agent and collateral agent and other lenders party thereto. Borrowings, if any, under the ABL Facility bear interest, at our election, at the term secured overnight financing rate plus a margin of 1.25% to 1.50% or the alternative base rate plus a margin of 0.25% to 0.50%. The ABL Facility also provides a fee applicable to the unused commitments of 0.25% to 0.30%. The ABL Facility matures on May 14, 2031; however, so long as the Notes (as defined below) are outstanding and mature on or prior to the latest maturity date of the ABL Facility, the agent under the ABL Facility is permitted to take a reserve against the ABL Facility equal to the aggregate principal amount of the Notes in excess of $100 million outstanding on the date that is ninety-one (91) days prior to the latest maturity date of the ABL Facility. The terms and conditions of the ABL Facility also require that we prepay outstanding loans under the ABL Facility under certain circumstances. As of August 1, 2026, no future prepayments of outstanding loans have been triggered under the terms and conditions of the ABL Facility.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1, 2026, we had outstanding letters of credit of approximately $6.4 million, all of which were issued under the ABL Facility, and we had no borrowings outstanding, leaving an available borrowing capacity under the ABL Facility of $993.6 million.</w:t>
      </w:r>
    </w:p>
    <w:p>
      <w:pPr>
        <w:pStyle w:val="TextBody"/>
        <w:bidi w:val="0"/>
        <w:spacing w:lineRule="auto" w:line="288" w:before="180" w:after="283"/>
        <w:ind w:left="0" w:right="0" w:firstLine="360"/>
        <w:jc w:val="both"/>
        <w:rPr>
          <w:rFonts w:ascii="Times New Roman;serif" w:hAnsi="Times New Roman;serif"/>
          <w:b/>
          <w:i/>
          <w:color w:val="000000"/>
          <w:sz w:val="20"/>
          <w:u w:val="single"/>
        </w:rPr>
      </w:pPr>
      <w:r>
        <w:rPr>
          <w:rFonts w:ascii="Times New Roman;serif" w:hAnsi="Times New Roman;serif"/>
          <w:b/>
          <w:i/>
          <w:color w:val="000000"/>
          <w:sz w:val="20"/>
          <w:u w:val="single"/>
        </w:rPr>
        <w:t>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14, 2026, Academy, Ltd., as issuer, issued $500 million aggregate principal amount of its 5.875% Senior Secured Notes due 2031 (the “Notes”) pursuant to an indenture, dated as of May 14, 2026 (the “Indenture”) among Academy, Ltd., as issuer, the guarantors party thereto and U.S. Bank Trust Company, National Association, as trustee. The Notes will mature on May 15, 2031. Interest on the Notes is payable semi-annually in arrears on November 15 and May 15 of each year, at a rate of 5.875% each year, beginning on November 15, 2026. The Notes are secured by first-priority liens on substantially all personal property of Academy, Ltd. and the guarantors (other than ABL Priority Collateral, as defined in the ABL Facility) and by second-priority liens on ABL Priority Collateral, in each case subject to permitted liens.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Notes are redeemable, at Academy, Ltd.’s option, prior to maturity at customary redemption prices (including “make-whole” provisions prior to May 15, 2028) and, thereafter, at the applicable declining redemption prices set forth in the Indenture, in each case plus accrued and unpaid interest. Academy, Ltd. may also redeem up to 40% of the aggregate principal amount of the Notes prior to May 15, 2028 with proceeds of certain equity offerings, as described in the Indenture. Upon the occurrence of certain events constituting a Change of Control (as defined in the Indenture), Academy, Ltd. must offer to repurchase the Notes at 101% of the principal amount, plus accrued and unpaid interest.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contains certain covenants that, among other things, restrict the ability of Academy, Ltd. and the restricted subsidiaries to: (i) incur or guarantee additional indebtedness; (ii) incur liens on assets; (iii) make restricted payments; (iv) prepay certain debt; (v) make investments; (vi) enter into affiliate transactions; (vii) restrict subsidiaries distributions/dividends; and (viii) sell or transfer certain assets or merge or consolidate, in each case subject to customary exceptions and qualifications as set forth in the Indenture. As of August 1, 2026, $500 million aggregate principal amount of the Notes remained outstanding. </w:t>
      </w:r>
    </w:p>
    <w:p>
      <w:pPr>
        <w:pStyle w:val="TextBody"/>
        <w:bidi w:val="0"/>
        <w:spacing w:lineRule="auto" w:line="288" w:before="180" w:after="283"/>
        <w:ind w:left="0" w:right="0" w:firstLine="360"/>
        <w:jc w:val="both"/>
        <w:rPr/>
      </w:pPr>
      <w:r>
        <w:rPr>
          <w:rFonts w:ascii="Times New Roman;serif" w:hAnsi="Times New Roman;serif"/>
          <w:b/>
          <w:i/>
          <w:color w:val="000000"/>
          <w:sz w:val="20"/>
          <w:u w:val="single"/>
        </w:rPr>
        <w:t>Covenants</w:t>
      </w:r>
      <w:r>
        <w:rPr>
          <w:color w:val="000000"/>
        </w:rPr>
        <w:t xml:space="preserv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ABL Facility and Notes contain covenants, including, among other things, covenants that may restrict Academy, Ltd.'s and certain of the Company’s wholly-owned subsidiaries’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August 1,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u w:val="single"/>
        </w:rPr>
      </w:pPr>
      <w:r>
        <w:rPr>
          <w:rFonts w:ascii="Times New Roman;serif" w:hAnsi="Times New Roman;serif"/>
          <w:b/>
          <w:i/>
          <w:color w:val="000000"/>
          <w:sz w:val="20"/>
          <w:u w:val="single"/>
        </w:rPr>
        <w:t>Payoff and Redemption of Term Loan and 2020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2020 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14, 2026, Academy, Ltd. used the net proceeds from the Notes to fund the redemption of all of its outstanding 6.00% senior secured notes due November 15, 2027 (the “2020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14, 2026, Academy, Ltd. voluntarily prepaid all outstanding amounts owed under that certain term loan credit agreement, dated as of November 6, 2020 (as amended, the “Term Loan”), by and among Academy, Ltd., as borrower, certain of the Company’s wholly-owned subsidiaries, as guarantors, UBS AG, Stamford Branch (as successor to Credit Suisse AG, Cayman Island Branch), as the administrative agent and collateral agent, the several other lenders, and the other parties named therein.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refinancing activities in the 2026 second quarter, the Company recognized a non-cash loss on early retirement of debt of $1.9 million from the write-off of deferred loan costs and expense related to the original issuance discount associated with the Term Loan.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measurements are classified as either: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which represents valuations based on unadjusted quoted prices in active markets that are accessible at the measurement date for identical, unrestricted assets or liabilities;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3 which represents valuations based on prices or valuation techniques that require inputs that are both significant to the fair value measurement and unobservable (i.e., supported by little or no market activity).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Financial Instruments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Periodically we make cash investments in money market funds comprised of U.S. Government treasury bills and securities, which are classified as cash and redeemable on demand. As of August 1, 2026, January 31, 2026 and August 2, 2025, we held $211.9 million, $277.7 million and $250.2 million in money market funds,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Term Loan, 2020 Notes, and Notes is estimated using a discounted cash flow analysis based on quoted market prices for the instrument in an inactive market and is therefore classified as Level 2 within the fair value hierarchy. As of August 1, 2026, the estimated fair value of the Notes (issued in the 2026 second quarter, see Note 4) was $0.5 billion. As of January 31, 2026, and August 2, 2025, the estimated fair value of the Term Loan and 2020 Notes were $0.5 billion and $0.5 billion, respectively. The Term Loan was repaid and the 2020 Notes were redeemed in the 2026 second quarter (see Note 4). As borrowings on the ABL Facility are generally repaid in less than 12 months, we believe that fair value approximates the carrying value.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$10.5 million proceeds from the sale of a portion of the rights to potential IEEPA tariff relief claims were recorded within Other Long-Term Liabilities on the Condensed Consolidated Balance Sheets in 2025 and the fair value option was elected (see Note 10). In the second quarter of 2026, the change in the fair value of the liability and the remittance of tariff refund claims were $61.8 million, net and $72.2 million, respectively.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6. Property and Equipment </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(amounts in thousands) as of:</w:t>
      </w:r>
    </w:p>
    <w:tbl>
      <w:tblPr>
        <w:tblW w:w="9004" w:type="dxa"/>
        <w:jc w:val="left"/>
        <w:tblInd w:w="0" w:type="dxa"/>
        <w:tblLayout w:type="fixed"/>
        <w:tblCellMar>
          <w:top w:w="28" w:type="dxa"/>
          <w:left w:w="28" w:type="dxa"/>
          <w:bottom w:w="28" w:type="dxa"/>
          <w:right w:w="28" w:type="dxa"/>
        </w:tblCellMar>
      </w:tblPr>
      <w:tblGrid>
        <w:gridCol w:w="1336"/>
        <w:gridCol w:w="1174"/>
        <w:gridCol w:w="1180"/>
        <w:gridCol w:w="109"/>
        <w:gridCol w:w="109"/>
        <w:gridCol w:w="109"/>
        <w:gridCol w:w="245"/>
        <w:gridCol w:w="978"/>
        <w:gridCol w:w="126"/>
        <w:gridCol w:w="109"/>
        <w:gridCol w:w="109"/>
        <w:gridCol w:w="109"/>
        <w:gridCol w:w="292"/>
        <w:gridCol w:w="1146"/>
        <w:gridCol w:w="151"/>
        <w:gridCol w:w="109"/>
        <w:gridCol w:w="109"/>
        <w:gridCol w:w="109"/>
        <w:gridCol w:w="247"/>
        <w:gridCol w:w="968"/>
        <w:gridCol w:w="180"/>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808,165</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777,207 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709,739 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810,506</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487,894</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64,812</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11,964</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2,183,341</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2,075,466 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2,014,576 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(1,551,507)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(1,491,363)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(1,430,531)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631,834</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584,103 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584,045 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$30.4 million and $61.2 million in the thirteen and twenty-six weeks ended August 1, 2026, respectively, and $31.0 million and $61.2 million in the thirteen and twenty-six weeks ended August 2, 2025,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erif" w:hAnsi="Times New Roman;serif"/>
          <w:b/>
          <w:color w:val="000000"/>
          <w:sz w:val="20"/>
        </w:rPr>
      </w:pPr>
      <w:r>
        <w:rPr>
          <w:rFonts w:ascii="Times New Roman;serif" w:hAnsi="Times New Roman;serif"/>
          <w:b/>
          <w:color w:val="000000"/>
          <w:sz w:val="20"/>
        </w:rPr>
        <w:t>7. Accrued Expenses and Other Current Liabilities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(amounts in thousands) as of:</w:t>
      </w:r>
    </w:p>
    <w:tbl>
      <w:tblPr>
        <w:tblW w:w="9139" w:type="dxa"/>
        <w:jc w:val="left"/>
        <w:tblInd w:w="0" w:type="dxa"/>
        <w:tblLayout w:type="fixed"/>
        <w:tblCellMar>
          <w:top w:w="28" w:type="dxa"/>
          <w:left w:w="28" w:type="dxa"/>
          <w:bottom w:w="28" w:type="dxa"/>
          <w:right w:w="28" w:type="dxa"/>
        </w:tblCellMar>
      </w:tblPr>
      <w:tblGrid>
        <w:gridCol w:w="1384"/>
        <w:gridCol w:w="1217"/>
        <w:gridCol w:w="1224"/>
        <w:gridCol w:w="109"/>
        <w:gridCol w:w="109"/>
        <w:gridCol w:w="109"/>
        <w:gridCol w:w="245"/>
        <w:gridCol w:w="978"/>
        <w:gridCol w:w="126"/>
        <w:gridCol w:w="109"/>
        <w:gridCol w:w="109"/>
        <w:gridCol w:w="109"/>
        <w:gridCol w:w="292"/>
        <w:gridCol w:w="1146"/>
        <w:gridCol w:w="151"/>
        <w:gridCol w:w="109"/>
        <w:gridCol w:w="109"/>
        <w:gridCol w:w="109"/>
        <w:gridCol w:w="247"/>
        <w:gridCol w:w="968"/>
        <w:gridCol w:w="180"/>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6,704</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41,957</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2,264</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and use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26,764</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15,276</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gift cards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93,039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36,215</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42,899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5,400</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31,995</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302,513</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243,908 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266,021 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erif" w:hAnsi="Times New Roman;serif"/>
          <w:b/>
          <w:color w:val="000000"/>
          <w:sz w:val="20"/>
        </w:rPr>
      </w:pPr>
      <w:r>
        <w:rPr>
          <w:rFonts w:ascii="Times New Roman;serif" w:hAnsi="Times New Roman;serif"/>
          <w:b/>
          <w:color w:val="000000"/>
          <w:sz w:val="20"/>
        </w:rPr>
        <w:t>8. Share-Based Compensation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29, 2020, the ASO, Inc. Board of Directors adopted the 2020 Omnibus Incentive Plan (the “2020 Omnibus Incentive Plan”), which provides for the grant of certain equity incentive awards (each, an “Award”) and became effective on October 1, 2020.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August 1, 2026, there were 2,889,110 shares that were authorized and available for future issuance under the 2020 Omnibus Incentive Plan.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29, 2020, the ASO, Inc. Board of Directors adopted the 2020 Employee Stock Purchase Plan (the “ESPP”), which became effective on October 1, 2020. We have reserved a total of 2,000,000 shares and as of August 1, 2026, there were 1,271,482 shares authorized and available for future issuance under the ESPP.</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 compensation expense was $9.3 million and $20.4 million for the thirteen and twenty-six weeks ended August 1, 2026 and $7.6 million and $15.1 million for the thirteen and twenty-six weeks ended August 2, 2025, respectively. These costs are included in selling, general and administrative expenses in the Condensed Consolidated Statements of Income. For Award grants during the periods presented,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Award grants during the twenty-six weeks ended August 1, 2026:</w:t>
      </w:r>
    </w:p>
    <w:tbl>
      <w:tblPr>
        <w:tblW w:w="10205" w:type="dxa"/>
        <w:jc w:val="left"/>
        <w:tblInd w:w="0" w:type="dxa"/>
        <w:tblLayout w:type="fixed"/>
        <w:tblCellMar>
          <w:top w:w="28" w:type="dxa"/>
          <w:left w:w="28" w:type="dxa"/>
          <w:bottom w:w="28" w:type="dxa"/>
          <w:right w:w="28" w:type="dxa"/>
        </w:tblCellMar>
      </w:tblPr>
      <w:tblGrid>
        <w:gridCol w:w="1386"/>
        <w:gridCol w:w="1206"/>
        <w:gridCol w:w="1211"/>
        <w:gridCol w:w="109"/>
        <w:gridCol w:w="109"/>
        <w:gridCol w:w="109"/>
        <w:gridCol w:w="109"/>
        <w:gridCol w:w="109"/>
        <w:gridCol w:w="109"/>
        <w:gridCol w:w="552"/>
        <w:gridCol w:w="1616"/>
        <w:gridCol w:w="288"/>
        <w:gridCol w:w="109"/>
        <w:gridCol w:w="109"/>
        <w:gridCol w:w="109"/>
        <w:gridCol w:w="636"/>
        <w:gridCol w:w="1857"/>
        <w:gridCol w:w="472"/>
      </w:tblGrid>
      <w:tr>
        <w:trPr/>
        <w:tc>
          <w:tcPr>
            <w:tcW w:w="138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Restricted Stock Units</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639,394 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225,083 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exercise price per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unrecognized compensation cost as of August 1, 2026:</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33"/>
        <w:gridCol w:w="908"/>
        <w:gridCol w:w="911"/>
        <w:gridCol w:w="109"/>
        <w:gridCol w:w="109"/>
        <w:gridCol w:w="109"/>
        <w:gridCol w:w="272"/>
        <w:gridCol w:w="929"/>
        <w:gridCol w:w="139"/>
        <w:gridCol w:w="109"/>
        <w:gridCol w:w="109"/>
        <w:gridCol w:w="109"/>
        <w:gridCol w:w="349"/>
        <w:gridCol w:w="1793"/>
        <w:gridCol w:w="180"/>
        <w:gridCol w:w="109"/>
        <w:gridCol w:w="109"/>
        <w:gridCol w:w="109"/>
        <w:gridCol w:w="425"/>
        <w:gridCol w:w="1969"/>
        <w:gridCol w:w="316"/>
      </w:tblGrid>
      <w:tr>
        <w:trPr/>
        <w:tc>
          <w:tcPr>
            <w:tcW w:w="10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Service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Restricted Stock Units</w:t>
            </w:r>
          </w:p>
        </w:tc>
      </w:tr>
      <w:tr>
        <w:trPr/>
        <w:tc>
          <w:tcPr>
            <w:tcW w:w="2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41,869,042 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8,689,885 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life remaining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erif" w:hAnsi="Times New Roman;serif"/>
          <w:b/>
          <w:color w:val="000000"/>
          <w:sz w:val="20"/>
        </w:rPr>
      </w:pPr>
      <w:r>
        <w:rPr>
          <w:rFonts w:ascii="Times New Roman;serif" w:hAnsi="Times New Roman;serif"/>
          <w:b/>
          <w:color w:val="000000"/>
          <w:sz w:val="20"/>
        </w:rPr>
        <w:t>9. Earnings per Common Share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shares outstanding and basic and diluted earnings per common share are calculated as follows (amounts in thousands, except per share amounts):</w:t>
      </w:r>
    </w:p>
    <w:tbl>
      <w:tblPr>
        <w:tblW w:w="10205" w:type="dxa"/>
        <w:jc w:val="left"/>
        <w:tblInd w:w="0" w:type="dxa"/>
        <w:tblLayout w:type="fixed"/>
        <w:tblCellMar>
          <w:top w:w="28" w:type="dxa"/>
          <w:left w:w="28" w:type="dxa"/>
          <w:bottom w:w="28" w:type="dxa"/>
          <w:right w:w="28" w:type="dxa"/>
        </w:tblCellMar>
      </w:tblPr>
      <w:tblGrid>
        <w:gridCol w:w="1513"/>
        <w:gridCol w:w="1295"/>
        <w:gridCol w:w="1310"/>
        <w:gridCol w:w="230"/>
        <w:gridCol w:w="918"/>
        <w:gridCol w:w="118"/>
        <w:gridCol w:w="109"/>
        <w:gridCol w:w="109"/>
        <w:gridCol w:w="109"/>
        <w:gridCol w:w="232"/>
        <w:gridCol w:w="909"/>
        <w:gridCol w:w="119"/>
        <w:gridCol w:w="109"/>
        <w:gridCol w:w="109"/>
        <w:gridCol w:w="109"/>
        <w:gridCol w:w="230"/>
        <w:gridCol w:w="918"/>
        <w:gridCol w:w="118"/>
        <w:gridCol w:w="109"/>
        <w:gridCol w:w="109"/>
        <w:gridCol w:w="109"/>
        <w:gridCol w:w="231"/>
        <w:gridCol w:w="906"/>
        <w:gridCol w:w="177"/>
      </w:tblGrid>
      <w:tr>
        <w:trPr/>
        <w:tc>
          <w:tcPr>
            <w:tcW w:w="15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137,897</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190,600</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62,292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63,362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Service Restricted Units and Service Restricted Stock Units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Performance Restricted Stock Units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Service Options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Performance Unit Options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ESPP Shares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63,551</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64,892</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basic</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diluted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stock-based awards excluded from diluted calculation</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i/>
          <w:color w:val="000000"/>
          <w:sz w:val="20"/>
        </w:rPr>
        <w:t>Technology Related and Other</w:t>
      </w:r>
      <w:r>
        <w:rPr>
          <w:color w:val="000000"/>
        </w:rPr>
        <w:t xml:space="preserve"> </w:t>
      </w:r>
      <w:r>
        <w:rPr>
          <w:rFonts w:ascii="Times New Roman;serif" w:hAnsi="Times New Roman;serif"/>
          <w:b/>
          <w:i/>
          <w:color w:val="000000"/>
          <w:sz w:val="20"/>
        </w:rPr>
        <w:t>Commitments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1, 2026, we have obligations under technology-related, construction and other contractual commitments in the amount of $208.1 million. Of such commitments, approximately $97.9 million is payable in the next 12 months.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Contingencies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the Company entered into an agreement to sell a portion of the rights to potential tariff relief claims (the “Participation Agreement”), which was determined to be accounted for under ASC 470. In February 2026, the Supreme Court issued a ruling striking down certain tariffs previously imposed under the International Emergency Economic Powers Act (the “IEEPA Tariffs”). The Company applied the gain contingency model in accordance with ASC 450-30, to account for the potential refund of previously incurred costs for IEEPA Tariffs. Under this model, the gain contingency is not recognized until the gain is realized or realizable. Accordingly, the Company recognized tariff refunds as payments were received. In the 2026 second quarter, the Company received refunds of $83.7 million from CBP related to the IEEPA Tariffs, excluding interest, which were recorded as a reduction to Cost of Goods Sold on the Condensed Consolidated Statements of Income. As a result of the refunds received, $72.2 million was paid to the buyer, which is presented in Other Expense (Income), net on the Condensed Consolidated Statements of Income. The Company also recognized the $10.5 million proceeds from the sale in Other Expense (Income), net that were previously recorded within Other Long-term Liabilities on the Condensed Consolidated Balance Sheets.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Financial Guarantees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negligence, and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not currently party to any legal proceedings that we believe would have a material adverse effect on our financial position, results of operations or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retail operations represent one operating segment and one reportable segment, which derives revenues from customers by selling full-line sporting goods and outdoor recreational products. The Company’s retail stores and online selling channels sell similar products and services, use similar selling processes, and sell to similar classes of customers. See Note 1 to the consolidated financial statements for information related to the products and services offered as well as business operations. The accounting policies of the Company’s single reportable segment are the same as those described in the summary of significant accounting policies in Note 2 to the consolidated financial statements. All intercompany transactions within the single reportable segment are eliminated upon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(the “CODM”) is the Chief Executive Officer. The CODM allocates resources and assesses performance at a Company level using consolidated net income, which is a GAAP measure, as reported on the Condensed Consolidated Statements of Income. The CODM evaluates the Company's assets as reported on the Company's Condensed Consolidated Balance Sheets. The CODM evaluates significant segment expenses and makes decisions about the retail business based on the cost of goods we sell and the selling, general, and administrative expenses needed to sell those goods as reported on the Condensed Consolidated Statements of Income. See the Company’s consolidated financial statements included in Part I Item 1 for more information.</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evaluated events or transactions that occurred after August 1, 2026 through September 9, 2026 (the date the consolidated financial statements were issued), and identified the following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Quarterly Dividend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 2026, the Company's Board of Directors declared a quarterly cash dividend with respect to the fiscal quarter ended August 1, 2026, of $0.15 per share of the Company's common stock, payable on October 14, 2026, to stockholders of record as of the close of business on September 16, 2026.</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in the section entitled “Management’s Discussion and Analysis of Financial Condition and Results of Operations” and in the section entitled Part II, Item 1A.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the section entitled “Risk Factors” in the Company’s Annual Report, as such risk factors may be updated from time to time in our periodic filings with the Securities and Exchange Commission, or SEC, and are accessible on the SEC's website at www.sec.gov.</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forward-looking statement made by us in this Quarterly Report speaks only as of the date of this Quarterly Report and is expressly qualified in its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factors that make an investment in our securities speculative or risky (all of which are more fully described in the section entitled Part I, Item 1A. “Risk Factors” in the Annual Report, as the same may be updated by subsequent Forms 10-Q):</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Risks Related to Our Business and Industry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overall decline in the health of the economy and consumer discretionary spending;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associated with our reliance on internationally manufactured merchandise which exposes us to various international risks, including additional tariffs or changes to existing tariffs;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operate, update or implement our information systems;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manage our use of machine learning and other types of artificial intelligence in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manage our inventory balances;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 xml:space="preserve">our ability to predict or effectively react to changes in consumer tastes and preferences, and/or to acquire and sell brand name merchandise at competitive prices;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associated with our e-commerce business;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ability to safeguard sensitive or confidential data relating to us and our customers, team members and vendors;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intense competition in the sporting goods and outdoor recreation retail industries;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risks associated with disruptions in our supply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successfully continue our store growth plans or manage our growth effectively, or any failure of our new stores to generate sales and/or achieve profitability;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effectiveness of our marketing and advertising programs;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attract, train and retain quality team members in sufficient numbers, increases in wage and labor costs, and changes in laws and other labor issues;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protect against inventory shrink;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payment-related risks;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occurrence of severe weather events, catastrophic health events, natural or man-made disasters, social and political conditions or civil unrest;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geographic concentration of our stores;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fluctuations in merchandise (including raw materials) costs and availability;</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any disruption in the operation of our distribution centers;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reliance on key personnel (including our executive officers) to support our existing business and future initiatives;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reliance on suppliers to supply us with merchandise that we purchase for resale;</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risks related to our private label brand merchandise;</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any failure of our third-party vendors of outsourced business services and solutions;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harm to our reputation;</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quarterly and seasonal fluctuations in our operating results; and</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ability to successfully pursue strategic acquisitions and integrate acquired businesses.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Legal and Regulatory Risks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comply with laws and regulations affecting our business, including those relating to the sale, manufacture and import of consumer products;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claims, demands and lawsuits to which we are, and may in the future, be subject;</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insurance or indemnities coverage may be insufficient;</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risks related to product safety; and</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ability to protect our intellectual property and avoid the infringement of third-party intellectual property rights.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Related to Our Indebtedness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level of indebtedness and related debt service payments and our ability to generate sufficient cash flow to satisfy all of our obligations under our indebtedness;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ability to incur substantially more debt;</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ability to generate sufficient cash to service all of our indebtedness;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restrictions on our current and future operations imposed by the terms of our indebtedness;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variable rate indebtedness subjects us to interest rate risk;</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ability to borrow under the ABL Facility (as defined above); and</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level of indebtedness may hinder our ability to negotiate favorable terms with our vendors.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Related to the Ownership of Our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stock price is volatile or may decline;</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ability or decision to pay dividends on our common stock or conduct stock repurchases;</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anti-takeover provisions in our organizational documents could delay or prevent a change of control;</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our exclusive forum provision; and</w:t>
      </w:r>
    </w:p>
    <w:p>
      <w:pPr>
        <w:pStyle w:val="TextBody"/>
        <w:bidi w:val="0"/>
        <w:spacing w:lineRule="auto" w:line="288" w:before="60" w:after="283"/>
        <w:ind w:left="0" w:right="0" w:hanging="360"/>
        <w:jc w:val="both"/>
        <w:rPr>
          <w:color w:val="000000"/>
        </w:rPr>
      </w:pPr>
      <w:r>
        <w:rPr>
          <w:color w:val="000000"/>
        </w:rPr>
        <w:t>•     </w:t>
      </w:r>
      <w:r>
        <w:rPr>
          <w:rFonts w:ascii="Times New Roman;serif" w:hAnsi="Times New Roman;serif"/>
          <w:b w:val="false"/>
          <w:color w:val="000000"/>
          <w:sz w:val="20"/>
        </w:rPr>
        <w:t>you may be diluted by any future issuances of shares by us.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together with our unaudited financial statements and related notes included elsewhere in this Quarterly Report for the thirteen and twenty-six weeks ended August 1, 2026 and our audited financial statements for the fiscal year ended January 31, 2026 and the section entitled “Management's Discussion and Analysis of Financial Condition and Results of Operations” included in the Annual Report. </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primarily through our indirect subsidiary, Academy, Ltd., a Texas limited partnership doing business as “Academy Sports + Outdoors”, or Academy, Ltd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All of the Company's sales and business operations occur at Academy, Ltd., and Academy, Ltd. is also the borrower and/or issuer of the Company's long-term debt and lessee of facilities.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“2026 second quarter,” or similar reference refers to the thirteen week period ended August 1, 2026, and any reference to the “prior year quarter,” “2025 second quarter” or similar reference refers to the thirteen week period ended August 2, 2025. Unless otherwise specified, all comparisons regarding the current period of 2026 are made to the corresponding period of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 apparel, sports and recreation, and footwear (representing 29%, 28%, 24%, and 19% of our 2026 second quarter net sales, respectively) through both leading national brands and a portfolio of private label brands, which go well beyond traditional sporting goods and apparel offerings.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1, 2026, we operated 327 stores that range in size from approximately 40,000 to 130,000 gross square feet, with an average size of approximately 70,000 gross square feet, throughout 21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store activity for the periods indicated:</w:t>
      </w:r>
    </w:p>
    <w:tbl>
      <w:tblPr>
        <w:tblW w:w="5301"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450"/>
        <w:gridCol w:w="450"/>
        <w:gridCol w:w="450"/>
        <w:gridCol w:w="243"/>
        <w:gridCol w:w="243"/>
        <w:gridCol w:w="243"/>
        <w:gridCol w:w="408"/>
        <w:gridCol w:w="408"/>
        <w:gridCol w:w="579"/>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new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new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Relocated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Tariffs and Other Macroeconomic Trends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monitor global macroeconomic trends and uncertainties such as inflation, existing and potential tariffs, and other shifting trade policies, which have impacted consumer spending and could adversely affect our ability to grow sales and merchandise margin. The impact of the evolving macroeconomic environment on our financial results is uncertain. We are closely monitoring the evolving environment with respect to tariffs and other trade policy developments and will continue to adjust plans as needed, including, but not limited to, appropriate sourcing diversification, strategic pricing and promotional adjustments to maintain value for our customers, and other operational decisions to manage the impact of tariffs on our business.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How We Assess the Performance of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Comparable Sales. </w:t>
      </w:r>
      <w:r>
        <w:rPr>
          <w:rFonts w:ascii="Times New Roman;serif" w:hAnsi="Times New Roman;serif"/>
          <w:b w:val="false"/>
          <w:color w:val="000000"/>
          <w:sz w:val="20"/>
        </w:rPr>
        <w:t>Comparable sales include stores open after thirteen full fiscal months, all e-commerce sales, and credit card revenue.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closed for an extended period of time are removed from the calculation. E-commerce sales include omnichannel sales fulfilled by our stores. For example, all buy-online-pick up-in-store (“BOPIS”) transactions are allocated to e-commerce sales for the purpose of comparable sales, despite the fact that our customers pick up these purchases from a specific store.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unseasonal or extreme weather; a shift in the timing of a holiday between comparable periods; and the number of stores that have been in operation for more than thirteen fiscal months.</w:t>
      </w:r>
    </w:p>
    <w:p>
      <w:pPr>
        <w:pStyle w:val="TextBody"/>
        <w:bidi w:val="0"/>
        <w:spacing w:lineRule="auto" w:line="288" w:before="180" w:after="283"/>
        <w:ind w:left="0" w:right="0" w:firstLine="360"/>
        <w:jc w:val="both"/>
        <w:rPr/>
      </w:pPr>
      <w:r>
        <w:rPr>
          <w:rFonts w:ascii="Times New Roman;serif" w:hAnsi="Times New Roman;serif"/>
          <w:b/>
          <w:i/>
          <w:color w:val="000000"/>
          <w:sz w:val="20"/>
        </w:rPr>
        <w:t>Transactions and average ticket.</w:t>
      </w:r>
      <w:r>
        <w:rPr>
          <w:color w:val="000000"/>
        </w:rPr>
        <w:t xml:space="preserve"> </w:t>
      </w:r>
      <w:r>
        <w:rPr>
          <w:rFonts w:ascii="Times New Roman;serif" w:hAnsi="Times New Roman;serif"/>
          <w:b w:val="false"/>
          <w:color w:val="000000"/>
          <w:sz w:val="20"/>
        </w:rPr>
        <w:t>We define transactions as the number of customer transactions for stores and e-commerce during a given period on a comparable sales basis. Transactions are influenced by customer traffic, the amount of customers that visited our stores or website, and sales conversion, the percent of those customers that made a purchase. We define average ticket as total sales divided by the number of transactions during a given period, which tells us the average amount the customer is spending on a purchase.</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Adjusted EBIT, Adjusted Net Income, Adjusted Earnings per Share and Adjusted Free Cash Flow. </w:t>
      </w:r>
      <w:r>
        <w:rPr>
          <w:rFonts w:ascii="Times New Roman;serif" w:hAnsi="Times New Roman;serif"/>
          <w:b w:val="false"/>
          <w:color w:val="000000"/>
          <w:sz w:val="20"/>
        </w:rPr>
        <w:t>Management uses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Components of Our Results of Operations. </w:t>
      </w:r>
      <w:r>
        <w:rPr>
          <w:rFonts w:ascii="Times New Roman;serif" w:hAnsi="Times New Roman;serif"/>
          <w:b w:val="false"/>
          <w:color w:val="000000"/>
          <w:sz w:val="20"/>
        </w:rPr>
        <w:t>Our profitability is primarily influenced by fluctuations in net sales, gross margin and our ability to leverage selling, general and administrative expenses.</w:t>
      </w:r>
    </w:p>
    <w:p>
      <w:pPr>
        <w:pStyle w:val="TextBody"/>
        <w:bidi w:val="0"/>
        <w:spacing w:lineRule="auto" w:line="288" w:before="180" w:after="283"/>
        <w:ind w:left="0" w:right="0" w:firstLine="360"/>
        <w:jc w:val="both"/>
        <w:rPr/>
      </w:pPr>
      <w:r>
        <w:rPr>
          <w:rFonts w:ascii="Times New Roman;serif" w:hAnsi="Times New Roman;serif"/>
          <w:b/>
          <w:i/>
          <w:color w:val="000000"/>
          <w:sz w:val="20"/>
        </w:rPr>
        <w:t>Net Sales.</w:t>
      </w:r>
      <w:r>
        <w:rPr>
          <w:color w:val="000000"/>
        </w:rPr>
        <w:t xml:space="preserve"> </w:t>
      </w:r>
      <w:r>
        <w:rPr>
          <w:rFonts w:ascii="Times New Roman;serif" w:hAnsi="Times New Roman;serif"/>
          <w:b w:val="false"/>
          <w:color w:val="000000"/>
          <w:sz w:val="20"/>
        </w:rPr>
        <w:t>Net sales are derived from in-store and e-commerce merchandise sales, net of sales tax and an allowance for merchandise returns.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changes in product mix and pricing, including promotional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tools to improve inventory handling and vendor management, including third-party programs to analyze our inventory stock, execute a disciplined markdown strategy and improve our inventory management throughout the year at every location. We have coupled these tools with the data we collect from our myAcademy Rewards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pStyle w:val="TextBody"/>
        <w:bidi w:val="0"/>
        <w:spacing w:lineRule="auto" w:line="288" w:before="180" w:after="283"/>
        <w:ind w:left="0" w:right="0" w:firstLine="360"/>
        <w:jc w:val="both"/>
        <w:rPr/>
      </w:pPr>
      <w:r>
        <w:rPr>
          <w:rFonts w:ascii="Times New Roman;serif" w:hAnsi="Times New Roman;serif"/>
          <w:b w:val="false"/>
          <w:color w:val="000000"/>
          <w:sz w:val="20"/>
          <w:shd w:fill="FFFFFF" w:val="clear"/>
        </w:rPr>
        <w:t>Our broad assortment gives us an advantage over mass general merchants who typically do not carry the full assortment of leading national brands sold at Academy. We have also continued to add private label brands to our assortment of products, which we generally price lower than the national brand products of comparable quality that we also offer.</w:t>
      </w:r>
      <w:r>
        <w:rPr>
          <w:color w:val="000000"/>
        </w:rPr>
        <w:t xml:space="preserve"> </w:t>
      </w:r>
      <w:r>
        <w:rPr>
          <w:rFonts w:ascii="Times New Roman;serif" w:hAnsi="Times New Roman;serif"/>
          <w:b w:val="false"/>
          <w:color w:val="000000"/>
          <w:sz w:val="20"/>
          <w:shd w:fill="FFFFFF" w:val="clear"/>
        </w:rPr>
        <w:t xml:space="preserve">A shift in our sales mix in which we sell more units of our private label brand products and fewer units of the national brand products would generally have a positive impact on our gross margin rate but an adverse impact on our total net sales. </w:t>
      </w:r>
      <w:r>
        <w:rPr>
          <w:rFonts w:ascii="Times New Roman;serif" w:hAnsi="Times New Roman;serif"/>
          <w:b w:val="false"/>
          <w:color w:val="000000"/>
          <w:sz w:val="20"/>
        </w:rPr>
        <w:t xml:space="preserve">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 rate.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expansion and enhancement of our omnichannel capabilities have contributed to increased sales in recent years. We continue to invest in initiatives designed to drive traffic to our stores and e-commerce platforms, including our website and mobile application, improve conversion, and support our long-term objective of continuing to increase our e-commerce penetration of sales. These initiatives include investments in our customer data ecosystem (data lake and Customer Data Platform), enabling customer-level attributes and models that power personalization and deepen engagement.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implementing enhancements to the online shopping experience, including a redesigned homepage, expanded BOPIS functionality, enhanced shipping notifications, and ongoing improvements in product discovery and site experience. Our e-commerce platform supports store operations by driving customer demand, providing real-time product discovery and inventory visibility, and enabling store-fulfilled transactions such as BOPIS, ship-to-store, and ship-from-store. During the 2026 year-to-date second quarter, stores facilitated approximately 95% of our total sales, including ship-from-store, BOPIS and in-store retail sales. We expect to continue investing in the expansion and enhancement of our omnichannel capabilities, including our mobile application, website experience optimization, fulfillment improvements, and emerging digital commerce capabilities such as artificial intelligence-enabled shopping experiences and social and marketplace commerce integrations. These initiatives are intended to support long-term growth and improve customer experience, and will require ongoing investment.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new stores will be a key driver of growth in our net sales and gross margin in the future as we execute our new store opening growth plans. Our growth strategy encompasses both deepening our presence in legacy and existing markets as well as entering new markets, leveraging enhanced brand awareness and operational efficiencies. Our new store model favors off-mall locations within power centers or stand-alone buildings. We utilize comprehensive demographic and trade data to guide our real estate site selection. During the 2026 second quarter, we opened three new stores. Our strategic real estate approach, including the 68 stores opened since fiscal year 2021, has positioned us effectively for continued expansion.</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Gross Margin. </w:t>
      </w:r>
      <w:r>
        <w:rPr>
          <w:rFonts w:ascii="Times New Roman;serif" w:hAnsi="Times New Roman;serif"/>
          <w:b w:val="false"/>
          <w:color w:val="000000"/>
          <w:sz w:val="20"/>
        </w:rPr>
        <w:t>Gross margin is our net sales less cost of goods sold. Cost of goods sold includes the direct cost of merchandise and costs related to procurement, warehousing and distribution. These costs consist primarily of tariffs, payroll and benefits, distribution center occupancy costs and freight, and are generally variable in nature relative to our inventory receipts and sales volume.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gross margin depends on a number of factors, such as net sales increases or decreases, our promotional activities, product mix including private label brand merchandise sales, and our ability to control cost of goods sold, such as inventory and logistics cost management. Our gross margin is also impacted by variables including tariffs, commodity costs, freight costs, shrinkage (discussed below), inventory processing costs and e-commerce shipping costs. We track and measure gross margin as a percentage of net sales in order to evaluate our performance against profitability targets.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refer to loss or theft of inventory as “shrinkage” or “shrink”. A prolonged period of significant increased shrink could have a material negative impact on our gross margin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Selling, General and Administrative Expenses. </w:t>
      </w:r>
      <w:r>
        <w:rPr>
          <w:rFonts w:ascii="Times New Roman;serif" w:hAnsi="Times New Roman;serif"/>
          <w:b w:val="false"/>
          <w:color w:val="000000"/>
          <w:sz w:val="20"/>
        </w:rPr>
        <w:t>Selling, general and administrative (“SG&amp;A”) expenses include store and corporate administrative 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decreased from 26.9% in the 2025 year-to-date second quarter to 26.7% in the 2026 year-to-date second quarter. This decrease was a result of increased sales and ongoing expense discipline across the organization. We track and measure operating expenses as a percentage of net sales in order to evaluate our performance against profitability targets. Management of SG&amp;A expenses depends on our ability to balance operating costs, such as store and corporate headcount, information technology infrastructure and marketing and advertising expenses, while efficiently and effectively servicing our customers.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result in a negative impact to SG&amp;A as a percentage of sales. The following table summarizes our pre-opening expense activity for the periods presented:</w:t>
      </w:r>
    </w:p>
    <w:tbl>
      <w:tblPr>
        <w:tblW w:w="9812" w:type="dxa"/>
        <w:jc w:val="left"/>
        <w:tblInd w:w="0" w:type="dxa"/>
        <w:tblLayout w:type="fixed"/>
        <w:tblCellMar>
          <w:top w:w="28" w:type="dxa"/>
          <w:left w:w="28" w:type="dxa"/>
          <w:bottom w:w="28" w:type="dxa"/>
          <w:right w:w="28" w:type="dxa"/>
        </w:tblCellMar>
      </w:tblPr>
      <w:tblGrid>
        <w:gridCol w:w="1063"/>
        <w:gridCol w:w="936"/>
        <w:gridCol w:w="940"/>
        <w:gridCol w:w="109"/>
        <w:gridCol w:w="109"/>
        <w:gridCol w:w="109"/>
        <w:gridCol w:w="384"/>
        <w:gridCol w:w="767"/>
        <w:gridCol w:w="198"/>
        <w:gridCol w:w="123"/>
        <w:gridCol w:w="123"/>
        <w:gridCol w:w="123"/>
        <w:gridCol w:w="392"/>
        <w:gridCol w:w="755"/>
        <w:gridCol w:w="202"/>
        <w:gridCol w:w="109"/>
        <w:gridCol w:w="109"/>
        <w:gridCol w:w="109"/>
        <w:gridCol w:w="384"/>
        <w:gridCol w:w="767"/>
        <w:gridCol w:w="198"/>
        <w:gridCol w:w="136"/>
        <w:gridCol w:w="136"/>
        <w:gridCol w:w="136"/>
        <w:gridCol w:w="382"/>
        <w:gridCol w:w="735"/>
        <w:gridCol w:w="278"/>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new stores opened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Interest Expense. </w:t>
      </w:r>
      <w:r>
        <w:rPr>
          <w:rFonts w:ascii="Times New Roman;serif" w:hAnsi="Times New Roman;serif"/>
          <w:b w:val="false"/>
          <w:color w:val="000000"/>
          <w:sz w:val="20"/>
        </w:rPr>
        <w:t>Interest expense includes regular interest payable related to our Notes, ABL Facility, and Term Loan (see Note 4 to the accompanying financial statements) and the amortization of our deferred loan costs and original issuance discounts associated with the acquisition of the debt. During the second quarter of 2026, Academy, Ltd. issued $500 million aggregate principal amount of its 5.875% Senior Secured Notes due 2031 (the “Notes”). We used the proceeds from the Notes to redeem the 2020 Notes and voluntarily prepay the Term Loan in full (see Note 4). This pay down resulted in decreased interest expense in year-to-date 2026 as compared to the prior year period, and we anticipate it will result in decreased interest expense compared to 2025 throughout the remainder of 2026.</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ASO, Inc. is treated as a U.S. corporation for U.S. federal, state, and local income tax purposes and accordingly, a provision for income taxes has been recorded for the anticipated tax consequences of our reported results of operations for federal, state and local income taxes. Recent fluctuations in income tax expense have been primarily as a result of the purchase of transferable tax credits, the effect of cross-border tax laws, and changes in income before income taxes.</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Thirteen Weeks Ended August 1, 2026 Compared to Thirteen Weeks Ended August 2, 2025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amounts and information derived from our unaudited statements of income for the periods indicated as follows (dollar amounts in thousands):</w:t>
      </w:r>
    </w:p>
    <w:tbl>
      <w:tblPr>
        <w:tblW w:w="10205" w:type="dxa"/>
        <w:jc w:val="left"/>
        <w:tblInd w:w="0" w:type="dxa"/>
        <w:tblLayout w:type="fixed"/>
        <w:tblCellMar>
          <w:top w:w="28" w:type="dxa"/>
          <w:left w:w="28" w:type="dxa"/>
          <w:bottom w:w="28" w:type="dxa"/>
          <w:right w:w="28" w:type="dxa"/>
        </w:tblCellMar>
      </w:tblPr>
      <w:tblGrid>
        <w:gridCol w:w="740"/>
        <w:gridCol w:w="647"/>
        <w:gridCol w:w="378"/>
        <w:gridCol w:w="109"/>
        <w:gridCol w:w="109"/>
        <w:gridCol w:w="109"/>
        <w:gridCol w:w="211"/>
        <w:gridCol w:w="991"/>
        <w:gridCol w:w="109"/>
        <w:gridCol w:w="109"/>
        <w:gridCol w:w="109"/>
        <w:gridCol w:w="109"/>
        <w:gridCol w:w="315"/>
        <w:gridCol w:w="316"/>
        <w:gridCol w:w="301"/>
        <w:gridCol w:w="109"/>
        <w:gridCol w:w="109"/>
        <w:gridCol w:w="109"/>
        <w:gridCol w:w="211"/>
        <w:gridCol w:w="976"/>
        <w:gridCol w:w="109"/>
        <w:gridCol w:w="109"/>
        <w:gridCol w:w="109"/>
        <w:gridCol w:w="109"/>
        <w:gridCol w:w="308"/>
        <w:gridCol w:w="308"/>
        <w:gridCol w:w="271"/>
        <w:gridCol w:w="109"/>
        <w:gridCol w:w="109"/>
        <w:gridCol w:w="109"/>
        <w:gridCol w:w="211"/>
        <w:gridCol w:w="721"/>
        <w:gridCol w:w="109"/>
        <w:gridCol w:w="109"/>
        <w:gridCol w:w="109"/>
        <w:gridCol w:w="109"/>
        <w:gridCol w:w="266"/>
        <w:gridCol w:w="270"/>
        <w:gridCol w:w="475"/>
      </w:tblGrid>
      <w:tr>
        <w:trPr/>
        <w:tc>
          <w:tcPr>
            <w:tcW w:w="7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1,647,285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981,383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665,902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246,363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retirement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137,897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*Percentages in table may not sum properly due to rounding.</w:t>
      </w:r>
    </w:p>
    <w:p>
      <w:pPr>
        <w:pStyle w:val="TextBody"/>
        <w:bidi w:val="0"/>
        <w:spacing w:lineRule="auto" w:line="288" w:before="180" w:after="283"/>
        <w:ind w:left="0" w:right="0" w:firstLine="360"/>
        <w:jc w:val="both"/>
        <w:rPr/>
      </w:pPr>
      <w:r>
        <w:rPr>
          <w:rFonts w:ascii="Times New Roman;serif" w:hAnsi="Times New Roman;serif"/>
          <w:b/>
          <w:i/>
          <w:color w:val="000000"/>
          <w:sz w:val="20"/>
        </w:rPr>
        <w:t>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sales increased $47.4 million, or 3.0%, in the 2026 second quarter compared to the prior year second quarter, which was driven by increased sales of 6.3% in the sports and recreation merchandise division and 4.4% in the outdoor merchandise division, partially offset by decreased sales of 1.0% in the footwear merchandise division while the apparel merchandise division remained relatively constant.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opened 21 new stores since the end of the 2025 second quarter, three of which opened during the 2026 second quarter. During the 2026 second quarter, these 21 stores generated $61.5 million of net sales, including e-commerce. Since re-launching our new store program in 2022, we have opened 68 new stores, 47 of which have been open for at least twelve months. Over the last twelve months, those 47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Comparable sales decreased 0.4% driven by lower comparable sales in the footwear and apparel merchandise divisions, partially offset by higher comparable sales in the sports and recreation and outdoor merchandise divisions. The decrease in comparable sales was a result of a 5.3% decrease in comparable transactions, partially offset by an increase in average ticket of 4.9%.</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E-commerce net sales represented 12.1% of merchandise sales for the 2026 second quarter compared to 10.9% for the prior year second quarter. E-commerce net sales increased 14.1% in the 2026 second quarter over the prior year second quarter.</w:t>
      </w:r>
    </w:p>
    <w:p>
      <w:pPr>
        <w:pStyle w:val="TextBody"/>
        <w:bidi w:val="0"/>
        <w:spacing w:lineRule="auto" w:line="288" w:before="180" w:after="180"/>
        <w:ind w:left="0" w:right="0" w:firstLine="360"/>
        <w:jc w:val="both"/>
        <w:rPr/>
      </w:pPr>
      <w:r>
        <w:rPr>
          <w:rFonts w:ascii="Times New Roman;serif" w:hAnsi="Times New Roman;serif"/>
          <w:b/>
          <w:i/>
          <w:color w:val="000000"/>
          <w:sz w:val="20"/>
        </w:rPr>
        <w:t>Gross Margin.</w:t>
      </w:r>
      <w:r>
        <w:rPr>
          <w:color w:val="000000"/>
        </w:rPr>
        <w:t xml:space="preserve"> </w:t>
      </w:r>
      <w:r>
        <w:rPr>
          <w:rFonts w:ascii="Times New Roman;serif" w:hAnsi="Times New Roman;serif"/>
          <w:b w:val="false"/>
          <w:color w:val="000000"/>
          <w:sz w:val="20"/>
        </w:rPr>
        <w:t xml:space="preserve">Gross margin increased $89.2 million, or 15.5%, to $665.9 million in the 2026 second quarter from $576.7 million in the 2025 second quarter. As a percentage of net sales, gross margin increased 440 basis points from 36.0% in the 2025 second quarter to 40.4% in the 2026 second quarter. The increase of 440 basis points in gross margin was primarily attributable to 510 basis points of favorability from the one-time benefit of IEEPA tariff refunds and 20 basis points of favorability related to shrink, partially offset by 90 basis points of unfavorability in merchandise margin, inclusive of 70 basis points of reinvestment of tariff refunds into strategic pricing. </w:t>
      </w:r>
    </w:p>
    <w:p>
      <w:pPr>
        <w:pStyle w:val="TextBody"/>
        <w:bidi w:val="0"/>
        <w:spacing w:lineRule="auto" w:line="288" w:before="0" w:after="180"/>
        <w:ind w:left="0" w:right="0" w:firstLine="360"/>
        <w:jc w:val="both"/>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 xml:space="preserve">SG&amp;A expenses increased $15.2 million, or 3.8%, to $419.5 million in the 2026 second quarter as compared to $404.4 million in the 2025 second quarter, primarily as a result of our increased strategic investments of $19.1 million, including the addition of 21 new stores since the end of the 2025 second quarter, partially offset by $3.9 million improvement in base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Interest Expense. </w:t>
      </w:r>
      <w:r>
        <w:rPr>
          <w:rFonts w:ascii="Times New Roman;serif" w:hAnsi="Times New Roman;serif"/>
          <w:b w:val="false"/>
          <w:color w:val="000000"/>
          <w:sz w:val="20"/>
        </w:rPr>
        <w:t>Interest expense decreased $1.0 million, or 10.8%, in the 2026 second quarter when compared with the 2025 second quarter, primarily due to lower interest rates and debt refinancing activities in the 2026 second quarter which resulted in lower interest rates on our long-term debt (see Note 4).</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Loss on Early Retirement of Debt. </w:t>
      </w:r>
      <w:r>
        <w:rPr>
          <w:rFonts w:ascii="Times New Roman;serif" w:hAnsi="Times New Roman;serif"/>
          <w:b w:val="false"/>
          <w:color w:val="000000"/>
          <w:sz w:val="20"/>
        </w:rPr>
        <w:t xml:space="preserve">Loss on early retirement of debt increased by $1.9 million in the 2026 second quarter as compared to the 2025 second quarter. During the second quarter of 2026, we completed refinancing transactions and used the net proceeds from the issuance of the Notes to fully redeem the 2020 Notes and repay our Term Loan in full (as defined in Note 4), which resulted in a $1.9 million loss on early retirement of debt. </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Other Expense (Income), net. </w:t>
      </w:r>
      <w:r>
        <w:rPr>
          <w:rFonts w:ascii="Times New Roman;serif" w:hAnsi="Times New Roman;serif"/>
          <w:b w:val="false"/>
          <w:color w:val="000000"/>
          <w:sz w:val="20"/>
        </w:rPr>
        <w:t>Other expense (income), net, changed by $59.5 million in the 2026 second quarter as compared to the 2025 second quarter, primarily driven by $72.2 million of payments made related to the Participation Agreement for tariff relief claims, partially offset by the $10.5 million in proceeds recognized related to the Participation Agreement (see Note 10).</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 xml:space="preserve">Income tax expense increased $1.1 million to $40.5 million for the 2026 second quarter as compared to $39.4 million in the 2025 second quarter, resulting primarily from an increase in pre-tax income. ASO, Inc.’s effective tax rate was 22.7% in the second quarter of 2026 compared to 23.9% in the second quarter of 2025. The decrease in the effective tax rate compared to the prior year quarter is primarily due to the purchase of transferable tax credits and the effect of cross-border tax laws.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Twenty-Six Weeks Ended August 1, 2026 Compared to Twenty-Six Weeks Ended August 2, 2025 </w:t>
      </w:r>
    </w:p>
    <w:tbl>
      <w:tblPr>
        <w:tblW w:w="10205" w:type="dxa"/>
        <w:jc w:val="left"/>
        <w:tblInd w:w="0" w:type="dxa"/>
        <w:tblLayout w:type="fixed"/>
        <w:tblCellMar>
          <w:top w:w="28" w:type="dxa"/>
          <w:left w:w="28" w:type="dxa"/>
          <w:bottom w:w="28" w:type="dxa"/>
          <w:right w:w="28" w:type="dxa"/>
        </w:tblCellMar>
      </w:tblPr>
      <w:tblGrid>
        <w:gridCol w:w="715"/>
        <w:gridCol w:w="626"/>
        <w:gridCol w:w="346"/>
        <w:gridCol w:w="109"/>
        <w:gridCol w:w="109"/>
        <w:gridCol w:w="109"/>
        <w:gridCol w:w="211"/>
        <w:gridCol w:w="991"/>
        <w:gridCol w:w="109"/>
        <w:gridCol w:w="109"/>
        <w:gridCol w:w="109"/>
        <w:gridCol w:w="109"/>
        <w:gridCol w:w="315"/>
        <w:gridCol w:w="316"/>
        <w:gridCol w:w="301"/>
        <w:gridCol w:w="109"/>
        <w:gridCol w:w="109"/>
        <w:gridCol w:w="109"/>
        <w:gridCol w:w="211"/>
        <w:gridCol w:w="976"/>
        <w:gridCol w:w="109"/>
        <w:gridCol w:w="109"/>
        <w:gridCol w:w="109"/>
        <w:gridCol w:w="109"/>
        <w:gridCol w:w="308"/>
        <w:gridCol w:w="308"/>
        <w:gridCol w:w="271"/>
        <w:gridCol w:w="109"/>
        <w:gridCol w:w="109"/>
        <w:gridCol w:w="109"/>
        <w:gridCol w:w="211"/>
        <w:gridCol w:w="826"/>
        <w:gridCol w:w="109"/>
        <w:gridCol w:w="109"/>
        <w:gridCol w:w="109"/>
        <w:gridCol w:w="109"/>
        <w:gridCol w:w="255"/>
        <w:gridCol w:w="256"/>
        <w:gridCol w:w="473"/>
      </w:tblGrid>
      <w:tr>
        <w:trPr/>
        <w:tc>
          <w:tcPr>
            <w:tcW w:w="71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3,089,288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1,944,038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1,145,250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824,232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321,018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retirement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247,288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190,600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*Percentages in table may not sum properly due to rounding.</w:t>
      </w:r>
    </w:p>
    <w:p>
      <w:pPr>
        <w:pStyle w:val="TextBody"/>
        <w:bidi w:val="0"/>
        <w:spacing w:lineRule="auto" w:line="288" w:before="180" w:after="283"/>
        <w:ind w:left="0" w:right="0" w:firstLine="360"/>
        <w:jc w:val="both"/>
        <w:rPr/>
      </w:pPr>
      <w:r>
        <w:rPr>
          <w:rFonts w:ascii="Times New Roman;serif" w:hAnsi="Times New Roman;serif"/>
          <w:b/>
          <w:i/>
          <w:color w:val="000000"/>
          <w:sz w:val="20"/>
        </w:rPr>
        <w:t>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sales increased $138.0 million, or 4.7%, year-to-date 2026 compared to year-to-date 2025, which was driven by increased sales of 7.8% in the outdoor merchandise division, 6.3% in the sports and recreation merchandise division, 2.1% in the apparel merchandise division and 0.8% in the footwear merchandise division.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opened 21 new stores since the end of the 2025 second quarter, three of which opened during the 2026 second quarter. During the year-to-date 2026, these 21 stores generated $108.9 million of net sales, including e-commerce. Since re-launching our new store program in 2022, we have opened 68 new stores, 47 of which have been open for at least twelve months. Over the last twelve months, those 47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Comparable sales increased 1.1% driven by higher comparable sales in the outdoor and sports and recreation merchandise divisions, partially offset by lower comparable sales in the footwear and apparel merchandise divisions. The increase in comparable sales was a result of a 4.7% increase in average ticket, partially offset by a decrease in comparable transactions of 3.6%.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E-commerce net sales represented 11.6% of merchandise sales for the year-to-date 2026 compared to 10.5% for the year-to-date 2025. E-commerce net sales increased 15.5% year-to-date 2026 compared to year-to-date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360"/>
        <w:jc w:val="both"/>
        <w:rPr/>
      </w:pPr>
      <w:r>
        <w:rPr>
          <w:rFonts w:ascii="Times New Roman;serif" w:hAnsi="Times New Roman;serif"/>
          <w:b/>
          <w:i/>
          <w:color w:val="000000"/>
          <w:sz w:val="20"/>
        </w:rPr>
        <w:t>Gross Margin.</w:t>
      </w:r>
      <w:r>
        <w:rPr>
          <w:color w:val="000000"/>
        </w:rPr>
        <w:t xml:space="preserve"> </w:t>
      </w:r>
      <w:r>
        <w:rPr>
          <w:rFonts w:ascii="Times New Roman;serif" w:hAnsi="Times New Roman;serif"/>
          <w:b w:val="false"/>
          <w:color w:val="000000"/>
          <w:sz w:val="20"/>
        </w:rPr>
        <w:t xml:space="preserve">Gross margin increased $109.6 million, or 10.6%, to $1,145.3 million for the year-to-date 2026 from $1,035.6 million for the year-to-date 2025. As a percentage of net sales, gross margin increased 200 basis points from 35.1% for the year-to-date 2025 to 37.1% for the year-to-date 2026. The increase of 200 basis points in gross margin was primarily attributable to 270 basis points of favorability from the one-time benefit of IEEPA tariff refunds, 20 basis points of favorability related to shrink, and 20 basis points of favorability related to decreased freight, partially offset by 120 basis points of unfavorability in merchandise margin primarily as a result of tariffs and the reinvestment of tariff refunds into strategic pricing. </w:t>
      </w:r>
    </w:p>
    <w:p>
      <w:pPr>
        <w:pStyle w:val="TextBody"/>
        <w:bidi w:val="0"/>
        <w:spacing w:lineRule="auto" w:line="288" w:before="0" w:after="180"/>
        <w:ind w:left="0" w:right="0" w:firstLine="360"/>
        <w:jc w:val="both"/>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SG&amp;A expenses increased $30.3 million, or 3.8%, to $824.2 million for the year-to-date 2026 as compared to $794.0 million for the year-to-date 2025, primarily as a result of our increased strategic investments of $40.0 million in new stores and technology, partially offset by $7.5 million due to lapping the Jordan Brand launch in the 2025 first quarter.</w:t>
      </w:r>
    </w:p>
    <w:p>
      <w:pPr>
        <w:pStyle w:val="TextBody"/>
        <w:bidi w:val="0"/>
        <w:spacing w:lineRule="auto" w:line="288" w:before="180" w:after="180"/>
        <w:ind w:left="0" w:right="0" w:firstLine="360"/>
        <w:jc w:val="both"/>
        <w:rPr/>
      </w:pPr>
      <w:r>
        <w:rPr>
          <w:rFonts w:ascii="Times New Roman;serif" w:hAnsi="Times New Roman;serif"/>
          <w:b/>
          <w:i/>
          <w:color w:val="000000"/>
          <w:sz w:val="20"/>
        </w:rPr>
        <w:t xml:space="preserve">Interest Expense. </w:t>
      </w:r>
      <w:r>
        <w:rPr>
          <w:rFonts w:ascii="Times New Roman;serif" w:hAnsi="Times New Roman;serif"/>
          <w:b w:val="false"/>
          <w:color w:val="000000"/>
          <w:sz w:val="20"/>
        </w:rPr>
        <w:t>Interest expense decreased $1.0 million, or 5.7%, for the year-to-date 2026 when compared with the year-to-date 2025, primarily due to lower interest rates and debt refinancing activities in the 2026 second quarter which resulted in lower interest rates on our long-term debt (see Note 4).</w:t>
      </w:r>
    </w:p>
    <w:p>
      <w:pPr>
        <w:pStyle w:val="TextBody"/>
        <w:bidi w:val="0"/>
        <w:spacing w:lineRule="auto" w:line="288" w:before="180" w:after="180"/>
        <w:ind w:left="0" w:right="0" w:firstLine="360"/>
        <w:jc w:val="both"/>
        <w:rPr/>
      </w:pPr>
      <w:r>
        <w:rPr>
          <w:rFonts w:ascii="Times New Roman;serif" w:hAnsi="Times New Roman;serif"/>
          <w:b/>
          <w:i/>
          <w:color w:val="000000"/>
          <w:sz w:val="20"/>
        </w:rPr>
        <w:t xml:space="preserve">Loss on Early Retirement of Debt. </w:t>
      </w:r>
      <w:r>
        <w:rPr>
          <w:rFonts w:ascii="Times New Roman;serif" w:hAnsi="Times New Roman;serif"/>
          <w:b w:val="false"/>
          <w:color w:val="000000"/>
          <w:sz w:val="20"/>
        </w:rPr>
        <w:t xml:space="preserve">Loss on early retirement of debt increased $1.9 million for the year-to-date 2026 when compared with the year-to-date 2025. During the second quarter of 2026, we completed refinancing transactions and used the net proceeds from the issuance of the Notes to fully redeem the 2020 Notes and repay our Term Loan in full (as defined in Note 4), which resulted in a $1.9 million loss on early retirement of debt. </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Other Expense (Income), net. </w:t>
      </w:r>
      <w:r>
        <w:rPr>
          <w:rFonts w:ascii="Times New Roman;serif" w:hAnsi="Times New Roman;serif"/>
          <w:b w:val="false"/>
          <w:color w:val="000000"/>
          <w:sz w:val="20"/>
        </w:rPr>
        <w:t>Other expense (income), net, changed by $59.1 million in year-to-date 2026 when compared to year-to-date 2025, primarily driven by $72.2 million of payments made related to the Participation Agreement for tariff relief claims, partially offset by the $10.5 million in proceeds recognized related to the Participation Agreement (see Note 10).</w:t>
      </w:r>
    </w:p>
    <w:p>
      <w:pPr>
        <w:pStyle w:val="TextBody"/>
        <w:bidi w:val="0"/>
        <w:spacing w:lineRule="auto" w:line="288" w:before="180" w:after="283"/>
        <w:ind w:left="0" w:right="0" w:firstLine="360"/>
        <w:jc w:val="both"/>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Income tax expense remained relatively constant for the year-to-date 2026 as compared to the year-to-date 2025. ASO, Inc.’s effective tax rate was 22.9% for the year-to-date 2026 compared to 24.7% for the year-to-date 2025. The decrease in the effective tax rate compared to the prior year is primarily due to an increase in excess tax benefits for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 as net income (loss) before interest expense, net, income tax expense and other adjustments included in the table below. We describe these adjustments reconciling net income (loss)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(used in) operating activities to Adjusted Free Cash Flow in the applicable table below.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supplements GAAP results with non-GAAP financial measures to provide a more complete understanding of the factors and trends affecting the business than GAAP results alone. Adjusted EBIT, Adjusted Net Income, Adjusted Earnings per Share and Adjusted Free Cash Flow are not recognized terms under GAAP and should not be considered as an alternative to net income (loss) as a measure of financial performance or net cash provided by (used in)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 Adjusted Net Income, and Adjusted Earnings per Share should not be construed to imply that our future results will be unaffected by unusual or non-recurring items. In evaluating Adjusted EBIT, Adjusted Net Income, Adjusted Earnings per Share and Adjusted Free Cash Flow, you should be aware that in the future we may incur expenses that are the same as or similar to some of the adjustments in this presentation. Our presentation of Adjusted EBIT, Adjusted Net Income, Adjusted Earnings per Share and Adjusted Free Cash Flow should not be construed to imply that our future results will be unaffected by any such adjustments.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Adjusted EBIT, Adjusted Net Income, and Adjusted Earnings per Share do not reflect costs or cash outlays for capital expenditures or contractual commitments;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Adjusted EBIT, Adjusted Net Income, and Adjusted Earnings per Share do not reflect changes in, or cash requirements for, our working capital needs;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Adjusted EBIT does not reflect the interest expense, or the cash requirements necessary to service interest or principal payments, on our debt, and Adjusted Free Cash Flow does not reflect the cash requirements necessary to service principal payments on our debt;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Adjusted EBIT does not reflect period to period changes in taxes, income tax expense or the cash necessary to pay income taxes;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Adjusted EBIT, Adjusted Net Income, and Adjusted Earnings per Share do not reflect the impact of earnings or charges resulting from matters we consider not to be indicative of our ongoing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Adjusted Free Cash Flow does not reflect cash requirements for such replacements;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other companies in our industry may calculate these measures differently than we do, limiting their usefulness as comparative measures.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 Adjusted Net Income, Adjusted Earnings per Share and Adjusted Free Cash Flow supplementally.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reconciliations of net income to Adjusted EBIT for the periods presented (amounts in thousands):</w:t>
      </w:r>
    </w:p>
    <w:tbl>
      <w:tblPr>
        <w:tblW w:w="10205" w:type="dxa"/>
        <w:jc w:val="left"/>
        <w:tblInd w:w="0" w:type="dxa"/>
        <w:tblLayout w:type="fixed"/>
        <w:tblCellMar>
          <w:top w:w="28" w:type="dxa"/>
          <w:left w:w="28" w:type="dxa"/>
          <w:bottom w:w="28" w:type="dxa"/>
          <w:right w:w="28" w:type="dxa"/>
        </w:tblCellMar>
      </w:tblPr>
      <w:tblGrid>
        <w:gridCol w:w="372"/>
        <w:gridCol w:w="328"/>
        <w:gridCol w:w="328"/>
        <w:gridCol w:w="338"/>
        <w:gridCol w:w="333"/>
        <w:gridCol w:w="341"/>
        <w:gridCol w:w="140"/>
        <w:gridCol w:w="140"/>
        <w:gridCol w:w="140"/>
        <w:gridCol w:w="292"/>
        <w:gridCol w:w="1165"/>
        <w:gridCol w:w="150"/>
        <w:gridCol w:w="140"/>
        <w:gridCol w:w="140"/>
        <w:gridCol w:w="140"/>
        <w:gridCol w:w="293"/>
        <w:gridCol w:w="1151"/>
        <w:gridCol w:w="151"/>
        <w:gridCol w:w="140"/>
        <w:gridCol w:w="140"/>
        <w:gridCol w:w="140"/>
        <w:gridCol w:w="292"/>
        <w:gridCol w:w="1165"/>
        <w:gridCol w:w="150"/>
        <w:gridCol w:w="140"/>
        <w:gridCol w:w="140"/>
        <w:gridCol w:w="140"/>
        <w:gridCol w:w="293"/>
        <w:gridCol w:w="1149"/>
        <w:gridCol w:w="234"/>
      </w:tblGrid>
      <w:tr>
        <w:trPr/>
        <w:tc>
          <w:tcPr>
            <w:tcW w:w="3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20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137,897</w:t>
            </w: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190,600</w:t>
            </w: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171,518 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8,056</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17,043</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40,502</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56,688</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(a)</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9,319</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20,419</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retirement of debt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197,676</w:t>
            </w:r>
            <w:r>
              <w:rPr>
                <w:color w:val="000000"/>
              </w:rPr>
              <w:t>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181,463 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286,652</w:t>
            </w:r>
            <w:r>
              <w:rPr>
                <w:color w:val="000000"/>
              </w:rPr>
              <w:t>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261,077 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9177"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non-cash charges related to equity-based compensation, which vary from period to period depending on certain factors such as timing and valuation of awards, achievement of performance targets and equity award forfeitures.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Income and Adjusted Earnings per Share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Adjusted Net Income and Adjusted Earnings per Share for the periods presented (amounts in thousands, except per share data):</w:t>
      </w:r>
    </w:p>
    <w:tbl>
      <w:tblPr>
        <w:tblW w:w="10205" w:type="dxa"/>
        <w:jc w:val="left"/>
        <w:tblInd w:w="0" w:type="dxa"/>
        <w:tblLayout w:type="fixed"/>
        <w:tblCellMar>
          <w:top w:w="28" w:type="dxa"/>
          <w:left w:w="28" w:type="dxa"/>
          <w:bottom w:w="28" w:type="dxa"/>
          <w:right w:w="28" w:type="dxa"/>
        </w:tblCellMar>
      </w:tblPr>
      <w:tblGrid>
        <w:gridCol w:w="362"/>
        <w:gridCol w:w="318"/>
        <w:gridCol w:w="318"/>
        <w:gridCol w:w="470"/>
        <w:gridCol w:w="470"/>
        <w:gridCol w:w="491"/>
        <w:gridCol w:w="134"/>
        <w:gridCol w:w="134"/>
        <w:gridCol w:w="134"/>
        <w:gridCol w:w="278"/>
        <w:gridCol w:w="1109"/>
        <w:gridCol w:w="143"/>
        <w:gridCol w:w="134"/>
        <w:gridCol w:w="134"/>
        <w:gridCol w:w="134"/>
        <w:gridCol w:w="279"/>
        <w:gridCol w:w="1095"/>
        <w:gridCol w:w="144"/>
        <w:gridCol w:w="134"/>
        <w:gridCol w:w="134"/>
        <w:gridCol w:w="134"/>
        <w:gridCol w:w="278"/>
        <w:gridCol w:w="1109"/>
        <w:gridCol w:w="143"/>
        <w:gridCol w:w="134"/>
        <w:gridCol w:w="134"/>
        <w:gridCol w:w="134"/>
        <w:gridCol w:w="279"/>
        <w:gridCol w:w="1093"/>
        <w:gridCol w:w="218"/>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24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137,897</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190,600</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171,518 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(a)</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9,319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20,419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retirement of debt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 of these adjustments (b)</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146,506</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131,319 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207,725</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182,917 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62,292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63,362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63,551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64,892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9207"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non-cash charges related to equity-based compensation, which vary from period to period depending on certain factors such as timing and valuation of awards, achievement of performance targets and equity award forfeitures.</w:t>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9207"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the estimated tax effect of the total adjustments made to arrive at Adjusted Net Income. </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Free Cash Flow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to Adjusted Free Cash Flow for the periods presented (amounts in thousands):</w:t>
      </w:r>
    </w:p>
    <w:tbl>
      <w:tblPr>
        <w:tblW w:w="10205" w:type="dxa"/>
        <w:jc w:val="left"/>
        <w:tblInd w:w="0" w:type="dxa"/>
        <w:tblLayout w:type="fixed"/>
        <w:tblCellMar>
          <w:top w:w="28" w:type="dxa"/>
          <w:left w:w="28" w:type="dxa"/>
          <w:bottom w:w="28" w:type="dxa"/>
          <w:right w:w="28" w:type="dxa"/>
        </w:tblCellMar>
      </w:tblPr>
      <w:tblGrid>
        <w:gridCol w:w="606"/>
        <w:gridCol w:w="529"/>
        <w:gridCol w:w="529"/>
        <w:gridCol w:w="552"/>
        <w:gridCol w:w="552"/>
        <w:gridCol w:w="568"/>
        <w:gridCol w:w="113"/>
        <w:gridCol w:w="113"/>
        <w:gridCol w:w="113"/>
        <w:gridCol w:w="248"/>
        <w:gridCol w:w="994"/>
        <w:gridCol w:w="127"/>
        <w:gridCol w:w="113"/>
        <w:gridCol w:w="113"/>
        <w:gridCol w:w="113"/>
        <w:gridCol w:w="273"/>
        <w:gridCol w:w="937"/>
        <w:gridCol w:w="140"/>
        <w:gridCol w:w="113"/>
        <w:gridCol w:w="113"/>
        <w:gridCol w:w="113"/>
        <w:gridCol w:w="248"/>
        <w:gridCol w:w="994"/>
        <w:gridCol w:w="127"/>
        <w:gridCol w:w="113"/>
        <w:gridCol w:w="113"/>
        <w:gridCol w:w="113"/>
        <w:gridCol w:w="250"/>
        <w:gridCol w:w="982"/>
        <w:gridCol w:w="193"/>
      </w:tblGrid>
      <w:tr>
        <w:trPr/>
        <w:tc>
          <w:tcPr>
            <w:tcW w:w="60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3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(a)</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188,416</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349,022</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236,047 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(72,467)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(111,464)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115,949</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21,664 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237,558</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128,148 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8541"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 includes the impact of IEEPA tariff refunds in the 2026 second quarter (see Note 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Sources and Uses of Liquidity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liquidity requirements are for working capital, capital expenditures and cash used to pay our debt obligations and related interest expense. We also use cash to pay dividends and to repurchase common stock. We fund these liquidity requirements through cash and cash equivalents, cash generated from operating activities, issuances of debt (such as the Notes) and borrowings under our ABL Facility. On August 1, 2026, our cash and cash equivalents totaled $298.2 million. We believe our cash and cash equivalents, as well as our availability under the ABL Facility, will be sufficient to fund our cash requirements for the next 12 months and the longer term foreseeable future.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1, 2026, the Company’s long-term debt and interest rates consist 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Notes - 5.875% fixed rate senior secured notes (the “Notes”) with $500 million in principal outstanding and full principal maturing May 15, 2031;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ABL Facility - $1.0 billion commitment on a variable rate secured asset-based revolving credit facility with no principal outstanding maturing May 14, 2031.</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14, 2026, Academy, Ltd., a wholly-owned subsidiary of the Company, entered into an amendment to the ABL Facility which, among other things, extended the maturity of the ABL Facility to May 14, 2031, and Academy, Ltd., as issuer, issued $500 million in aggregate principal amount of senior secured notes, all of which remains outstanding and matures on May 15, 2031. The Company used the net proceeds from the Notes to fully redeem the 2020 Notes, prepay the Term Loan in full, pay related fees and expenses, and for general corporate purposes.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4 to the accompanying financial statements for further disclosure regarding our debt agreements. The following table summarizes our debt obligations by fiscal year as of August 1, 2026 (amounts in thousands):</w:t>
      </w:r>
    </w:p>
    <w:tbl>
      <w:tblPr>
        <w:tblW w:w="10205" w:type="dxa"/>
        <w:jc w:val="center"/>
        <w:tblInd w:w="0" w:type="dxa"/>
        <w:tblLayout w:type="fixed"/>
        <w:tblCellMar>
          <w:top w:w="28" w:type="dxa"/>
          <w:left w:w="28" w:type="dxa"/>
          <w:bottom w:w="28" w:type="dxa"/>
          <w:right w:w="28" w:type="dxa"/>
        </w:tblCellMar>
      </w:tblPr>
      <w:tblGrid>
        <w:gridCol w:w="966"/>
        <w:gridCol w:w="844"/>
        <w:gridCol w:w="851"/>
        <w:gridCol w:w="211"/>
        <w:gridCol w:w="721"/>
        <w:gridCol w:w="109"/>
        <w:gridCol w:w="211"/>
        <w:gridCol w:w="721"/>
        <w:gridCol w:w="109"/>
        <w:gridCol w:w="211"/>
        <w:gridCol w:w="721"/>
        <w:gridCol w:w="109"/>
        <w:gridCol w:w="211"/>
        <w:gridCol w:w="721"/>
        <w:gridCol w:w="109"/>
        <w:gridCol w:w="211"/>
        <w:gridCol w:w="721"/>
        <w:gridCol w:w="109"/>
        <w:gridCol w:w="211"/>
        <w:gridCol w:w="826"/>
        <w:gridCol w:w="109"/>
        <w:gridCol w:w="211"/>
        <w:gridCol w:w="826"/>
        <w:gridCol w:w="156"/>
      </w:tblGrid>
      <w:tr>
        <w:trPr/>
        <w:tc>
          <w:tcPr>
            <w:tcW w:w="96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2030</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Notes and related interest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ABL Facility and related interest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7544"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Interest payments do not include amortization of debt issuance costs and assumes Notes are paid in full at maturity date.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Assumes a minimum revolving credit commitment of $1.0 billion and assumes no balances drawn on our ABL Facility.</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Liquidity information related to the ABL Facility is as follows for the periods shown (dollar amounts in thousands):</w:t>
      </w:r>
    </w:p>
    <w:tbl>
      <w:tblPr>
        <w:tblW w:w="6893" w:type="dxa"/>
        <w:jc w:val="left"/>
        <w:tblInd w:w="0" w:type="dxa"/>
        <w:tblLayout w:type="fixed"/>
        <w:tblCellMar>
          <w:top w:w="28" w:type="dxa"/>
          <w:left w:w="28" w:type="dxa"/>
          <w:bottom w:w="28" w:type="dxa"/>
          <w:right w:w="28" w:type="dxa"/>
        </w:tblCellMar>
      </w:tblPr>
      <w:tblGrid>
        <w:gridCol w:w="1265"/>
        <w:gridCol w:w="1110"/>
        <w:gridCol w:w="1120"/>
        <w:gridCol w:w="109"/>
        <w:gridCol w:w="109"/>
        <w:gridCol w:w="109"/>
        <w:gridCol w:w="245"/>
        <w:gridCol w:w="978"/>
        <w:gridCol w:w="126"/>
        <w:gridCol w:w="109"/>
        <w:gridCol w:w="109"/>
        <w:gridCol w:w="109"/>
        <w:gridCol w:w="247"/>
        <w:gridCol w:w="968"/>
        <w:gridCol w:w="180"/>
      </w:tblGrid>
      <w:tr>
        <w:trPr/>
        <w:tc>
          <w:tcPr>
            <w:tcW w:w="12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funds drawn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days with outstanding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daily amount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available borrowing capacity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991,808</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Liquidity information related to the ABL Facility (amounts in thousands) as of:</w:t>
      </w:r>
    </w:p>
    <w:p>
      <w:pPr>
        <w:pStyle w:val="TextBody"/>
        <w:bidi w:val="0"/>
        <w:spacing w:before="0" w:after="0"/>
        <w:ind w:left="0" w:right="0" w:firstLine="360"/>
        <w:jc w:val="both"/>
        <w:rPr/>
      </w:pPr>
      <w:r>
        <w:rPr/>
      </w:r>
    </w:p>
    <w:tbl>
      <w:tblPr>
        <w:tblW w:w="7848" w:type="dxa"/>
        <w:jc w:val="left"/>
        <w:tblInd w:w="0" w:type="dxa"/>
        <w:tblLayout w:type="fixed"/>
        <w:tblCellMar>
          <w:top w:w="28" w:type="dxa"/>
          <w:left w:w="28" w:type="dxa"/>
          <w:bottom w:w="28" w:type="dxa"/>
          <w:right w:w="28" w:type="dxa"/>
        </w:tblCellMar>
      </w:tblPr>
      <w:tblGrid>
        <w:gridCol w:w="918"/>
        <w:gridCol w:w="806"/>
        <w:gridCol w:w="810"/>
        <w:gridCol w:w="109"/>
        <w:gridCol w:w="109"/>
        <w:gridCol w:w="109"/>
        <w:gridCol w:w="392"/>
        <w:gridCol w:w="755"/>
        <w:gridCol w:w="202"/>
        <w:gridCol w:w="109"/>
        <w:gridCol w:w="109"/>
        <w:gridCol w:w="109"/>
        <w:gridCol w:w="462"/>
        <w:gridCol w:w="887"/>
        <w:gridCol w:w="240"/>
        <w:gridCol w:w="109"/>
        <w:gridCol w:w="109"/>
        <w:gridCol w:w="109"/>
        <w:gridCol w:w="382"/>
        <w:gridCol w:w="735"/>
        <w:gridCol w:w="278"/>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6,390</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borrowing capacity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993,610</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992,370 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990,870 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predominantly lease store locations, distribution centers, office space and certain equipment under operating leases expiring between fiscal years 2026 and 2046. Operating lease obligations include future minimum lease payments under all of our non-cancelable operating leases at August 1, 2026. The following table summarizes our remaining operating lease obligations by fiscal year:</w:t>
      </w:r>
    </w:p>
    <w:tbl>
      <w:tblPr>
        <w:tblW w:w="10205" w:type="dxa"/>
        <w:jc w:val="left"/>
        <w:tblInd w:w="0" w:type="dxa"/>
        <w:tblLayout w:type="fixed"/>
        <w:tblCellMar>
          <w:top w:w="28" w:type="dxa"/>
          <w:left w:w="28" w:type="dxa"/>
          <w:bottom w:w="28" w:type="dxa"/>
          <w:right w:w="28" w:type="dxa"/>
        </w:tblCellMar>
      </w:tblPr>
      <w:tblGrid>
        <w:gridCol w:w="665"/>
        <w:gridCol w:w="584"/>
        <w:gridCol w:w="588"/>
        <w:gridCol w:w="211"/>
        <w:gridCol w:w="826"/>
        <w:gridCol w:w="109"/>
        <w:gridCol w:w="211"/>
        <w:gridCol w:w="826"/>
        <w:gridCol w:w="109"/>
        <w:gridCol w:w="211"/>
        <w:gridCol w:w="826"/>
        <w:gridCol w:w="109"/>
        <w:gridCol w:w="211"/>
        <w:gridCol w:w="826"/>
        <w:gridCol w:w="109"/>
        <w:gridCol w:w="211"/>
        <w:gridCol w:w="826"/>
        <w:gridCol w:w="109"/>
        <w:gridCol w:w="211"/>
        <w:gridCol w:w="976"/>
        <w:gridCol w:w="109"/>
        <w:gridCol w:w="211"/>
        <w:gridCol w:w="976"/>
        <w:gridCol w:w="155"/>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After 2030</w:t>
            </w:r>
          </w:p>
        </w:tc>
        <w:tc>
          <w:tcPr>
            <w:tcW w:w="13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payments </w:t>
            </w:r>
            <w:r>
              <w:rPr>
                <w:rFonts w:ascii="Times New Roman;serif" w:hAnsi="Times New Roman;serif"/>
                <w:b w:val="false"/>
                <w:color w:val="000000"/>
                <w:sz w:val="13"/>
              </w:rPr>
              <w:t>(1) (2)</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2,411,013 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Minimum lease payments have not been reduced by sublease rentals of $1.2 million due in the future under non-cancelable sub-leases.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These balances include stores where we have an executed contract but have not taken possession of the location as of August 1, 2026.</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80" w:after="180"/>
        <w:ind w:left="0" w:right="0" w:firstLine="360"/>
        <w:jc w:val="both"/>
        <w:rPr/>
      </w:pPr>
      <w:r>
        <w:rPr>
          <w:rFonts w:ascii="Times New Roman;serif" w:hAnsi="Times New Roman;serif"/>
          <w:b w:val="false"/>
          <w:color w:val="000000"/>
          <w:sz w:val="20"/>
          <w:shd w:fill="FFFFFF" w:val="clear"/>
        </w:rPr>
        <w:t>On December 4, 2024, the Company's Board of Directors approved a new share repurchase program under which the Company is authorized to purchase up to $700 million</w:t>
      </w:r>
      <w:r>
        <w:rPr>
          <w:color w:val="000000"/>
        </w:rPr>
        <w:t xml:space="preserve"> </w:t>
      </w:r>
      <w:r>
        <w:rPr>
          <w:rFonts w:ascii="Times New Roman;serif" w:hAnsi="Times New Roman;serif"/>
          <w:b w:val="false"/>
          <w:color w:val="000000"/>
          <w:sz w:val="20"/>
          <w:shd w:fill="FFFFFF" w:val="clear"/>
        </w:rPr>
        <w:t xml:space="preserve">of its outstanding shares during the three-year period ending December 4, 2027 (the “2024 Share Repurchase Program”), and which replaced the previously approved share repurchase program. Under the 2024 Share Repurchase </w:t>
      </w:r>
      <w:r>
        <w:rPr>
          <w:rFonts w:ascii="Times New Roman;serif" w:hAnsi="Times New Roman;serif"/>
          <w:b w:val="false"/>
          <w:color w:val="000000"/>
          <w:sz w:val="20"/>
        </w:rPr>
        <w:t>Program,</w:t>
      </w:r>
      <w:r>
        <w:rPr>
          <w:color w:val="000000"/>
          <w:shd w:fill="FFFFFF" w:val="clear"/>
        </w:rPr>
        <w:t xml:space="preserve"> </w:t>
      </w:r>
      <w:r>
        <w:rPr>
          <w:rFonts w:ascii="Times New Roman;serif" w:hAnsi="Times New Roman;serif"/>
          <w:b w:val="false"/>
          <w:color w:val="000000"/>
          <w:sz w:val="20"/>
          <w:shd w:fill="FFFFFF" w:val="clear"/>
        </w:rPr>
        <w:t xml:space="preserve">repurchases can be made using a variety of methods, which may include open market purchases, block trades, accelerated share repurchase </w:t>
      </w:r>
      <w:r>
        <w:rPr>
          <w:rFonts w:ascii="Times New Roman;serif" w:hAnsi="Times New Roman;serif"/>
          <w:b w:val="false"/>
          <w:color w:val="000000"/>
          <w:sz w:val="20"/>
        </w:rPr>
        <w:t>programs</w:t>
      </w:r>
      <w:r>
        <w:rPr>
          <w:rFonts w:ascii="Times New Roman;serif" w:hAnsi="Times New Roman;serif"/>
          <w:b w:val="false"/>
          <w:color w:val="000000"/>
          <w:sz w:val="20"/>
          <w:shd w:fill="FFFFFF" w:val="clear"/>
        </w:rPr>
        <w:t xml:space="preserve">,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and economic and market conditions. The 2024 Share Repurchase Program does not obligate the Company to acquire any particular number of common shares, and the program may be suspended, extended, modified or discontinued at any time. </w:t>
      </w:r>
      <w:r>
        <w:rPr>
          <w:rFonts w:ascii="Times New Roman;serif" w:hAnsi="Times New Roman;serif"/>
          <w:b w:val="false"/>
          <w:color w:val="000000"/>
          <w:sz w:val="20"/>
        </w:rPr>
        <w:t>As of August 1, 2026, the Company had $256.1 million remaining for share repurchases under the 2024 Share Repurchase Program. See Note 2 to the consolidated financial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share repurchases through the 2026 second quarter (dollar amounts in thousands, except per share amounts):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125"/>
        <w:gridCol w:w="885"/>
        <w:gridCol w:w="888"/>
        <w:gridCol w:w="109"/>
        <w:gridCol w:w="109"/>
        <w:gridCol w:w="109"/>
        <w:gridCol w:w="853"/>
        <w:gridCol w:w="713"/>
        <w:gridCol w:w="715"/>
        <w:gridCol w:w="109"/>
        <w:gridCol w:w="109"/>
        <w:gridCol w:w="109"/>
        <w:gridCol w:w="449"/>
        <w:gridCol w:w="1312"/>
        <w:gridCol w:w="232"/>
        <w:gridCol w:w="109"/>
        <w:gridCol w:w="109"/>
        <w:gridCol w:w="109"/>
        <w:gridCol w:w="361"/>
        <w:gridCol w:w="1419"/>
        <w:gridCol w:w="272"/>
      </w:tblGrid>
      <w:tr>
        <w:trPr/>
        <w:tc>
          <w:tcPr>
            <w:tcW w:w="11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Average Price Paid per Share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Amount Repurchased </w:t>
            </w:r>
            <w:r>
              <w:rPr>
                <w:rFonts w:ascii="Times New Roman;serif" w:hAnsi="Times New Roman;serif"/>
                <w:b/>
                <w:color w:val="000000"/>
                <w:sz w:val="13"/>
              </w:rPr>
              <w:t>(1)</w:t>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(February 1, 2026 to May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1,703,031 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Second Quarter (May 3, 2026 to August 1, 2026)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1,608,528 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3,311,559 </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180,505 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(1) Excludes the impact of unpaid excise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(2) See Part II, Item 2 - Unregistered Sales of Equity Securities and Use of Proceeds</w:t>
            </w:r>
            <w:r>
              <w:rPr>
                <w:color w:val="000000"/>
              </w:rPr>
              <w:t xml:space="preserve"> </w:t>
            </w:r>
            <w:r>
              <w:rPr>
                <w:rFonts w:ascii="Times New Roman;serif" w:hAnsi="Times New Roman;serif"/>
                <w:b w:val="false"/>
                <w:color w:val="000000"/>
                <w:sz w:val="16"/>
              </w:rPr>
              <w:t>for further detail on the 2026 second quarter share repurchases.</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quarterly dividend payments for the 2026 second quarter (amounts in thousands, except per share amounts):</w:t>
      </w:r>
    </w:p>
    <w:tbl>
      <w:tblPr>
        <w:tblW w:w="10205" w:type="dxa"/>
        <w:jc w:val="left"/>
        <w:tblInd w:w="0" w:type="dxa"/>
        <w:tblLayout w:type="fixed"/>
        <w:tblCellMar>
          <w:top w:w="28" w:type="dxa"/>
          <w:left w:w="28" w:type="dxa"/>
          <w:bottom w:w="28" w:type="dxa"/>
          <w:right w:w="28" w:type="dxa"/>
        </w:tblCellMar>
      </w:tblPr>
      <w:tblGrid>
        <w:gridCol w:w="1303"/>
        <w:gridCol w:w="1138"/>
        <w:gridCol w:w="1143"/>
        <w:gridCol w:w="109"/>
        <w:gridCol w:w="109"/>
        <w:gridCol w:w="109"/>
        <w:gridCol w:w="407"/>
        <w:gridCol w:w="986"/>
        <w:gridCol w:w="211"/>
        <w:gridCol w:w="109"/>
        <w:gridCol w:w="109"/>
        <w:gridCol w:w="109"/>
        <w:gridCol w:w="356"/>
        <w:gridCol w:w="1218"/>
        <w:gridCol w:w="184"/>
        <w:gridCol w:w="109"/>
        <w:gridCol w:w="109"/>
        <w:gridCol w:w="109"/>
        <w:gridCol w:w="666"/>
        <w:gridCol w:w="666"/>
        <w:gridCol w:w="946"/>
      </w:tblGrid>
      <w:tr>
        <w:trPr/>
        <w:tc>
          <w:tcPr>
            <w:tcW w:w="13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Stockholder Date of Record</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(February 1, 2026 to May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2026</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(May 3, 2026 to August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2026</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18,956 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 2026, the Company’s Board of Directors declared a quarterly cash dividend with respect to the fiscal quarter ended August 1, 2026, of $0.15 per share of the Company's common stock, payable on October 14, 2026, to stockholders of record as of the close of business on September 16,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capital expenditures for the twenty-six weeks ended August 1, 2026 and August 2, 2025 (amounts in thousands):</w:t>
      </w:r>
    </w:p>
    <w:tbl>
      <w:tblPr>
        <w:tblW w:w="8513" w:type="dxa"/>
        <w:jc w:val="left"/>
        <w:tblInd w:w="0" w:type="dxa"/>
        <w:tblLayout w:type="fixed"/>
        <w:tblCellMar>
          <w:top w:w="28" w:type="dxa"/>
          <w:left w:w="28" w:type="dxa"/>
          <w:bottom w:w="28" w:type="dxa"/>
          <w:right w:w="28" w:type="dxa"/>
        </w:tblCellMar>
      </w:tblPr>
      <w:tblGrid>
        <w:gridCol w:w="1850"/>
        <w:gridCol w:w="1623"/>
        <w:gridCol w:w="1642"/>
        <w:gridCol w:w="109"/>
        <w:gridCol w:w="109"/>
        <w:gridCol w:w="109"/>
        <w:gridCol w:w="245"/>
        <w:gridCol w:w="978"/>
        <w:gridCol w:w="126"/>
        <w:gridCol w:w="109"/>
        <w:gridCol w:w="109"/>
        <w:gridCol w:w="109"/>
        <w:gridCol w:w="247"/>
        <w:gridCol w:w="968"/>
        <w:gridCol w:w="180"/>
      </w:tblGrid>
      <w:tr>
        <w:trPr/>
        <w:tc>
          <w:tcPr>
            <w:tcW w:w="185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60,085</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e-commerce and information technology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28,774</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stores, distribution centers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22,399</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111,258</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107,576 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capital expenditures for fiscal year 2026 to be between $200 million and $240 million. The following table summarizes our forecasted allocation of capital expenditures for fiscal year 2026:</w:t>
      </w:r>
    </w:p>
    <w:tbl>
      <w:tblPr>
        <w:tblW w:w="6142" w:type="dxa"/>
        <w:jc w:val="left"/>
        <w:tblInd w:w="0" w:type="dxa"/>
        <w:tblLayout w:type="fixed"/>
        <w:tblCellMar>
          <w:top w:w="28" w:type="dxa"/>
          <w:left w:w="28" w:type="dxa"/>
          <w:bottom w:w="28" w:type="dxa"/>
          <w:right w:w="28" w:type="dxa"/>
        </w:tblCellMar>
      </w:tblPr>
      <w:tblGrid>
        <w:gridCol w:w="1850"/>
        <w:gridCol w:w="1623"/>
        <w:gridCol w:w="1642"/>
        <w:gridCol w:w="109"/>
        <w:gridCol w:w="109"/>
        <w:gridCol w:w="109"/>
        <w:gridCol w:w="180"/>
        <w:gridCol w:w="181"/>
        <w:gridCol w:w="339"/>
      </w:tblGrid>
      <w:tr>
        <w:trPr/>
        <w:tc>
          <w:tcPr>
            <w:tcW w:w="185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e-commerce and information technology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stores, distribution centers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review forecasted capital expenditures throughout the year and will adjust our capital expenditures based on business conditions at that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Flows for the Twenty-Six Weeks Ended August 1, 2026 and August 2, 2025 </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unaudited statements of cash flows are summarized as follows (in thousands): </w:t>
      </w:r>
    </w:p>
    <w:tbl>
      <w:tblPr>
        <w:tblW w:w="7717" w:type="dxa"/>
        <w:jc w:val="left"/>
        <w:tblInd w:w="0" w:type="dxa"/>
        <w:tblLayout w:type="fixed"/>
        <w:tblCellMar>
          <w:top w:w="28" w:type="dxa"/>
          <w:left w:w="28" w:type="dxa"/>
          <w:bottom w:w="28" w:type="dxa"/>
          <w:right w:w="28" w:type="dxa"/>
        </w:tblCellMar>
      </w:tblPr>
      <w:tblGrid>
        <w:gridCol w:w="1563"/>
        <w:gridCol w:w="1376"/>
        <w:gridCol w:w="1380"/>
        <w:gridCol w:w="109"/>
        <w:gridCol w:w="109"/>
        <w:gridCol w:w="109"/>
        <w:gridCol w:w="245"/>
        <w:gridCol w:w="978"/>
        <w:gridCol w:w="126"/>
        <w:gridCol w:w="109"/>
        <w:gridCol w:w="109"/>
        <w:gridCol w:w="109"/>
        <w:gridCol w:w="247"/>
        <w:gridCol w:w="968"/>
        <w:gridCol w:w="180"/>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349,022</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236,047 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(111,464)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(269,665)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(32,107)</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left"/>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Operating Activities.</w:t>
      </w:r>
      <w:r>
        <w:rPr>
          <w:color w:val="000000"/>
        </w:rPr>
        <w:t xml:space="preserve"> </w:t>
      </w:r>
      <w:r>
        <w:rPr>
          <w:rFonts w:ascii="Times New Roman;serif" w:hAnsi="Times New Roman;serif"/>
          <w:b w:val="false"/>
          <w:color w:val="000000"/>
          <w:sz w:val="20"/>
        </w:rPr>
        <w:t xml:space="preserve">Cash flows from operating activities are seasonal in our business. Typically, cash flows from operations are used to build inventory in advance of peak selling seasons, with the fourth quarter pre-holiday season inventory increase being the most significant. </w:t>
      </w:r>
    </w:p>
    <w:p>
      <w:pPr>
        <w:pStyle w:val="TextBody"/>
        <w:bidi w:val="0"/>
        <w:spacing w:before="0" w:after="0"/>
        <w:ind w:left="0" w:right="0" w:firstLine="10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in year-to-date 2026 increased $113.0 million, compared to year-to-date 2025. This increase is attributable to:</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$19.1 million increase in net income;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$68.6 million net increase in cash flows provided by operating assets and liabilities;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$25.3 million net increase in non-cash charges primarily due to $61.8 million related to the loss on the IEEPA tariff refund monetization in the 2026 second quarter (see Note 5 and Note 10), partially offset by a $28.8 million decrease in deferred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flows from operating assets and liabilities was primarily attributable to: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$62.7 million increase in cash flows from working capital due to the pull-forward of inventory purchases in the prior year period at pre-tariff rates;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$39.5 million increase in income taxes payable primarily due to deductions in the prior year period resulting from the One Big Beautiful Bill Act, timing of payments, and a tax refund received in the prior year period; partially offset by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$34.3 million decrease in prepaid expenses and other current assets largely driven by litigation settlements received in the prior year period and timing of construction reimbursement payments received.</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Investing Activities</w:t>
      </w:r>
      <w:r>
        <w:rPr>
          <w:rFonts w:ascii="Times New Roman;serif" w:hAnsi="Times New Roman;serif"/>
          <w:b/>
          <w:color w:val="000000"/>
          <w:sz w:val="20"/>
        </w:rPr>
        <w:t xml:space="preserve">. </w:t>
      </w:r>
      <w:r>
        <w:rPr>
          <w:rFonts w:ascii="Times New Roman;serif" w:hAnsi="Times New Roman;serif"/>
          <w:b w:val="false"/>
          <w:color w:val="000000"/>
          <w:sz w:val="20"/>
        </w:rPr>
        <w:t>Cash used in investing activities increased $3.6 million in year-to-date 2026 compared to the year-to-date 2025. This increase is primarily due to increased capital expenditures for new stores as well as corporate, e-commerce, and information technology programs, partially offset by a decrease in capital expenditures for existing stores and distribution centers in year-to-date 2026 compared to the year-to-date 2025.</w:t>
      </w:r>
    </w:p>
    <w:p>
      <w:pPr>
        <w:pStyle w:val="TextBody"/>
        <w:bidi w:val="0"/>
        <w:spacing w:lineRule="auto" w:line="288" w:before="240" w:after="283"/>
        <w:ind w:left="0" w:right="0" w:firstLine="360"/>
        <w:jc w:val="both"/>
        <w:rPr/>
      </w:pPr>
      <w:r>
        <w:rPr>
          <w:rFonts w:ascii="Times New Roman;serif" w:hAnsi="Times New Roman;serif"/>
          <w:b/>
          <w:i/>
          <w:color w:val="000000"/>
          <w:sz w:val="20"/>
        </w:rPr>
        <w:t>Financing Activities</w:t>
      </w:r>
      <w:r>
        <w:rPr>
          <w:rFonts w:ascii="Times New Roman;serif" w:hAnsi="Times New Roman;serif"/>
          <w:b/>
          <w:color w:val="000000"/>
          <w:sz w:val="20"/>
        </w:rPr>
        <w:t xml:space="preserve">. </w:t>
      </w:r>
      <w:r>
        <w:rPr>
          <w:rFonts w:ascii="Times New Roman;serif" w:hAnsi="Times New Roman;serif"/>
          <w:b w:val="false"/>
          <w:color w:val="000000"/>
          <w:sz w:val="20"/>
        </w:rPr>
        <w:t>Cash used in financing activities increased $153.4 million in year-to-date 2026, compared to year-to-date 2025. The increase in financing activities was primarily attributable to: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$484.3 million increase in cash outflows related to the redemption of the 2020 Notes and repayment of the Term Loan as part of the refinancing activities in the 2026 second quarter (see Note 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$81.5 million increase in cash outflows for repurchases of common stock in 2026;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$72.2 million increase in cash outflows due to payments made related to the Participation Agreement for tariff relief claims (see Note 10); partially offset by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$493.9 million in net proceeds resulting from the issuance of the Notes as part of the refinancing activities in the 2026 second quarter (see Note 4). </w: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Note 2 to our unaudited consolidated financial statements under Part I, Item 1 of this Quarterly Report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Note 10 — Commitments and Contingencies to our unaudited consolidated financial statements included under Part I, Item 1 of this Quarterly Report is incorporated herein by reference.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not currently party to any legal proceedings that we believe would have a material adverse effect on our financial position, results of operations or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risk factors discussed in the section of the Annual Report entitled “Part 1A.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“Part 1A. Risk Factors”.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repurchases and cancellations of shares of our common stock during the 2026 second quarter:</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383"/>
        <w:gridCol w:w="326"/>
        <w:gridCol w:w="327"/>
        <w:gridCol w:w="109"/>
        <w:gridCol w:w="109"/>
        <w:gridCol w:w="109"/>
        <w:gridCol w:w="726"/>
        <w:gridCol w:w="464"/>
        <w:gridCol w:w="466"/>
        <w:gridCol w:w="109"/>
        <w:gridCol w:w="109"/>
        <w:gridCol w:w="109"/>
        <w:gridCol w:w="287"/>
        <w:gridCol w:w="839"/>
        <w:gridCol w:w="148"/>
        <w:gridCol w:w="109"/>
        <w:gridCol w:w="109"/>
        <w:gridCol w:w="109"/>
        <w:gridCol w:w="953"/>
        <w:gridCol w:w="725"/>
        <w:gridCol w:w="727"/>
        <w:gridCol w:w="109"/>
        <w:gridCol w:w="109"/>
        <w:gridCol w:w="109"/>
        <w:gridCol w:w="342"/>
        <w:gridCol w:w="1927"/>
        <w:gridCol w:w="257"/>
      </w:tblGrid>
      <w:tr>
        <w:trPr/>
        <w:tc>
          <w:tcPr>
            <w:tcW w:w="38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 Value of Shares that May Yet be Purchased Under the Plans or Programs (c)</w:t>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2026 to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1,468,711 </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1,468,711 </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262,512,304 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to July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261,384,033 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5, 2026 to August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118,644 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118,644 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256,118,560 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1,608,528 </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1,608,528 </w:t>
            </w:r>
          </w:p>
        </w:tc>
        <w:tc>
          <w:tcPr>
            <w:tcW w:w="7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256,118,560 </w:t>
            </w:r>
          </w:p>
        </w:tc>
        <w:tc>
          <w:tcPr>
            <w:tcW w:w="2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(a) The total number of shares repurchased excludes shares which were net-settled, and therefore not issued, to cover employee withholding related to the vesting of certain restricted stock awards and exercise of certain stock option awards.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Excludes the impact of unpaid excise taxes.</w:t>
      </w:r>
    </w:p>
    <w:p>
      <w:pPr>
        <w:pStyle w:val="TextBody"/>
        <w:bidi w:val="0"/>
        <w:spacing w:lineRule="auto" w:line="276"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 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replaced the previously approved share repurchase program. As of August 1, 2026, approximately $256.1 million remained available for share repurchases pursuant to the 2024 Share Repurchase Program (see Note 2 to the accompanying financial statements). The 2024 Share Repurchase Program does not obligate the Company to acquire any particular number of common shares, and the program may be suspended, extended, modified or discontinued at any time.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 Trading Plans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August 1, 2026, no director or officer (as defined in Rule 16a-1(f) under the Exchange Act) of the Company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34"/>
        <w:gridCol w:w="293"/>
        <w:gridCol w:w="294"/>
        <w:gridCol w:w="2889"/>
        <w:gridCol w:w="2638"/>
        <w:gridCol w:w="3757"/>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92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3.1</w:t>
              </w:r>
            </w:hyperlink>
          </w:p>
        </w:tc>
        <w:tc>
          <w:tcPr>
            <w:tcW w:w="9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the Registrant (incorporated by reference to Exhibit 3.2 to the Registrant’s Current Report on Form 8-K filed on June 5, 2025).</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Bylaws of the Registrant (incorporated by reference to Exhibit 3.1 to the Registrant's Current Report on Form 8-K filed on March 7, 2025).</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4.1</w:t>
              </w:r>
            </w:hyperlink>
          </w:p>
        </w:tc>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May 14, 2026, by and among Academy, Ltd., as issuer, the guarantors named therein and U.S. Bank Trust Company, National Association, as trustee and notes collateral agent (incorporated by reference to Exhibit 4.1 to the Registrant’s Current Report on Form 8-K filed on May 14, 2026).</w:t>
            </w:r>
          </w:p>
        </w:tc>
      </w:tr>
      <w:tr>
        <w:trPr/>
        <w:tc>
          <w:tcPr>
            <w:tcW w:w="921" w:type="dxa"/>
            <w:gridSpan w:val="3"/>
            <w:tcBorders/>
            <w:vAlign w:val="center"/>
          </w:tcPr>
          <w:p>
            <w:pPr>
              <w:pStyle w:val="TableContents"/>
              <w:bidi w:val="0"/>
              <w:spacing w:before="0" w:after="283"/>
              <w:jc w:val="left"/>
              <w:rPr>
                <w:sz w:val="4"/>
                <w:szCs w:val="4"/>
              </w:rPr>
            </w:pPr>
            <w:r>
              <w:rPr>
                <w:sz w:val="4"/>
                <w:szCs w:val="4"/>
              </w:rPr>
            </w:r>
          </w:p>
        </w:tc>
        <w:tc>
          <w:tcPr>
            <w:tcW w:w="9284" w:type="dxa"/>
            <w:gridSpan w:val="3"/>
            <w:tcBorders/>
            <w:vAlign w:val="center"/>
          </w:tcPr>
          <w:p>
            <w:pPr>
              <w:pStyle w:val="TableContents"/>
              <w:bidi w:val="0"/>
              <w:spacing w:before="0" w:after="283"/>
              <w:jc w:val="left"/>
              <w:rPr>
                <w:sz w:val="4"/>
                <w:szCs w:val="4"/>
              </w:rPr>
            </w:pPr>
            <w:r>
              <w:rPr>
                <w:sz w:val="4"/>
                <w:szCs w:val="4"/>
              </w:rPr>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10.1</w:t>
              </w:r>
            </w:hyperlink>
          </w:p>
        </w:tc>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5, dated May 14, 2026, to the First Amended and Restated ABL Credit Agreement, dated as of July 2, 2015, among Academy, Ltd., as borrower, New Academy Holding Company, LLC, Associated Investors, L.L.C., Academy Managing Co., L.L.C., and Academy Procurement Co., LLC as guarantors, the several lenders from time to time party thereto and JPMorgan Chase Bank, N.A., as the letter of credit issuer, swingline lender, administrative agent and collateral agent (incorporated by reference to Exhibit 10.1 of the Registrant's Current Report on Form 8-K filed on May 14, 2026).</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Times New Roman;serif" w:hAnsi="Times New Roman;serif"/>
                  <w:b w:val="false"/>
                  <w:color w:val="0000FF"/>
                  <w:sz w:val="20"/>
                  <w:u w:val="single"/>
                </w:rPr>
                <w:t>31.1*</w:t>
              </w:r>
            </w:hyperlink>
          </w:p>
        </w:tc>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Periodic Report by Chief Executive Officer under Section 302 of the Sarbanes-Oxley Act of 2002.</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Times New Roman;serif" w:hAnsi="Times New Roman;serif"/>
                  <w:b w:val="false"/>
                  <w:color w:val="0000FF"/>
                  <w:sz w:val="20"/>
                  <w:u w:val="single"/>
                </w:rPr>
                <w:t>31.2*</w:t>
              </w:r>
            </w:hyperlink>
          </w:p>
        </w:tc>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Periodic Report by Chief Financial Officer under Section 302 of the Sarbanes-Oxley Act of 2002.</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Times New Roman;serif" w:hAnsi="Times New Roman;serif"/>
                  <w:b w:val="false"/>
                  <w:color w:val="0000FF"/>
                  <w:sz w:val="20"/>
                  <w:u w:val="single"/>
                </w:rPr>
                <w:t>32.1**</w:t>
              </w:r>
            </w:hyperlink>
          </w:p>
        </w:tc>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Section 1350 as Adopted Pursuant to Section 906 of the Sarbanes-Oxley Act of 2002.</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q22026.htm">
              <w:r>
                <w:rPr>
                  <w:rStyle w:val="InternetLink"/>
                  <w:rFonts w:ascii="Times New Roman;serif" w:hAnsi="Times New Roman;serif"/>
                  <w:b w:val="false"/>
                  <w:color w:val="0000FF"/>
                  <w:sz w:val="20"/>
                  <w:u w:val="single"/>
                </w:rPr>
                <w:t>32.2**</w:t>
              </w:r>
            </w:hyperlink>
          </w:p>
        </w:tc>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Section 1350 as Adopted Pursuant to Section 906 of the Sarbanes-Oxley Act of 2002.</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 Linkbase Document</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plans or arrangements.</w:t>
            </w:r>
          </w:p>
        </w:tc>
      </w:tr>
    </w:tbl>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on Form 10-Q to be signed on September 9, 2026 on its behalf by the undersigned, thereto duly authorized.</w:t>
      </w:r>
    </w:p>
    <w:p>
      <w:pPr>
        <w:pStyle w:val="TextBody"/>
        <w:bidi w:val="0"/>
        <w:spacing w:before="0" w:after="0"/>
        <w:jc w:val="left"/>
        <w:rPr/>
      </w:pPr>
      <w:r>
        <w:rPr/>
      </w:r>
    </w:p>
    <w:tbl>
      <w:tblPr>
        <w:tblW w:w="4004" w:type="dxa"/>
        <w:jc w:val="right"/>
        <w:tblInd w:w="0" w:type="dxa"/>
        <w:tblLayout w:type="fixed"/>
        <w:tblCellMar>
          <w:top w:w="28" w:type="dxa"/>
          <w:left w:w="28" w:type="dxa"/>
          <w:bottom w:w="28" w:type="dxa"/>
          <w:right w:w="28" w:type="dxa"/>
        </w:tblCellMar>
      </w:tblPr>
      <w:tblGrid>
        <w:gridCol w:w="1283"/>
        <w:gridCol w:w="1127"/>
        <w:gridCol w:w="159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ACADEMY SPORTS AND OUTDOORS, INC.</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r>
    </w:tbl>
    <w:tbl>
      <w:tblPr>
        <w:tblW w:w="4858" w:type="dxa"/>
        <w:jc w:val="right"/>
        <w:tblInd w:w="0" w:type="dxa"/>
        <w:tblLayout w:type="fixed"/>
        <w:tblCellMar>
          <w:top w:w="28" w:type="dxa"/>
          <w:left w:w="28" w:type="dxa"/>
          <w:bottom w:w="28" w:type="dxa"/>
          <w:right w:w="28" w:type="dxa"/>
        </w:tblCellMar>
      </w:tblPr>
      <w:tblGrid>
        <w:gridCol w:w="151"/>
        <w:gridCol w:w="134"/>
        <w:gridCol w:w="135"/>
        <w:gridCol w:w="173"/>
        <w:gridCol w:w="173"/>
        <w:gridCol w:w="173"/>
        <w:gridCol w:w="1147"/>
        <w:gridCol w:w="1147"/>
        <w:gridCol w:w="162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3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 CARLTON FORD, IV</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 Carlton Ford, IV</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authorized signatory)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Steven Lawrence,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August 1, 2026 (this “Report”) of Academy Sports and Outdoors, Inc. (the “Registrant”);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4912" w:type="dxa"/>
        <w:jc w:val="left"/>
        <w:tblInd w:w="0" w:type="dxa"/>
        <w:tblLayout w:type="fixed"/>
        <w:tblCellMar>
          <w:top w:w="28" w:type="dxa"/>
          <w:left w:w="28" w:type="dxa"/>
          <w:bottom w:w="28" w:type="dxa"/>
          <w:right w:w="28" w:type="dxa"/>
        </w:tblCellMar>
      </w:tblPr>
      <w:tblGrid>
        <w:gridCol w:w="128"/>
        <w:gridCol w:w="112"/>
        <w:gridCol w:w="112"/>
        <w:gridCol w:w="676"/>
        <w:gridCol w:w="676"/>
        <w:gridCol w:w="678"/>
        <w:gridCol w:w="109"/>
        <w:gridCol w:w="109"/>
        <w:gridCol w:w="109"/>
        <w:gridCol w:w="179"/>
        <w:gridCol w:w="179"/>
        <w:gridCol w:w="181"/>
        <w:gridCol w:w="486"/>
        <w:gridCol w:w="486"/>
        <w:gridCol w:w="692"/>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LAWRENCE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Steven Lawrence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Earl Carlton Ford, IV,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August 1, 2026 (this “Report”) of Academy Sports and Outdoors, Inc. (the “Registrant”);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6938" w:type="dxa"/>
        <w:jc w:val="left"/>
        <w:tblInd w:w="0" w:type="dxa"/>
        <w:tblLayout w:type="fixed"/>
        <w:tblCellMar>
          <w:top w:w="28" w:type="dxa"/>
          <w:left w:w="28" w:type="dxa"/>
          <w:bottom w:w="28" w:type="dxa"/>
          <w:right w:w="28" w:type="dxa"/>
        </w:tblCellMar>
      </w:tblPr>
      <w:tblGrid>
        <w:gridCol w:w="198"/>
        <w:gridCol w:w="174"/>
        <w:gridCol w:w="174"/>
        <w:gridCol w:w="1286"/>
        <w:gridCol w:w="1286"/>
        <w:gridCol w:w="1290"/>
        <w:gridCol w:w="109"/>
        <w:gridCol w:w="109"/>
        <w:gridCol w:w="109"/>
        <w:gridCol w:w="179"/>
        <w:gridCol w:w="179"/>
        <w:gridCol w:w="181"/>
        <w:gridCol w:w="486"/>
        <w:gridCol w:w="486"/>
        <w:gridCol w:w="692"/>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3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 CARLTON FORD,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44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Earl Carlton Ford,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Academy Sports and Outdoors, Inc. (the “Company”) for the quarterly period ended August 1, 2026,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tbl>
      <w:tblPr>
        <w:tblW w:w="4912" w:type="dxa"/>
        <w:jc w:val="left"/>
        <w:tblInd w:w="0" w:type="dxa"/>
        <w:tblLayout w:type="fixed"/>
        <w:tblCellMar>
          <w:top w:w="28" w:type="dxa"/>
          <w:left w:w="28" w:type="dxa"/>
          <w:bottom w:w="28" w:type="dxa"/>
          <w:right w:w="28" w:type="dxa"/>
        </w:tblCellMar>
      </w:tblPr>
      <w:tblGrid>
        <w:gridCol w:w="128"/>
        <w:gridCol w:w="112"/>
        <w:gridCol w:w="112"/>
        <w:gridCol w:w="676"/>
        <w:gridCol w:w="676"/>
        <w:gridCol w:w="678"/>
        <w:gridCol w:w="109"/>
        <w:gridCol w:w="109"/>
        <w:gridCol w:w="109"/>
        <w:gridCol w:w="179"/>
        <w:gridCol w:w="179"/>
        <w:gridCol w:w="181"/>
        <w:gridCol w:w="486"/>
        <w:gridCol w:w="486"/>
        <w:gridCol w:w="692"/>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LAWRENCE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270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Steven Lawrence</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Academy Sports and Outdoors, Inc. (the “Company”) for the quarterly period ended August 1, 2026,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tbl>
      <w:tblPr>
        <w:tblW w:w="6608" w:type="dxa"/>
        <w:jc w:val="left"/>
        <w:tblInd w:w="0" w:type="dxa"/>
        <w:tblLayout w:type="fixed"/>
        <w:tblCellMar>
          <w:top w:w="28" w:type="dxa"/>
          <w:left w:w="28" w:type="dxa"/>
          <w:bottom w:w="28" w:type="dxa"/>
          <w:right w:w="28" w:type="dxa"/>
        </w:tblCellMar>
      </w:tblPr>
      <w:tblGrid>
        <w:gridCol w:w="177"/>
        <w:gridCol w:w="155"/>
        <w:gridCol w:w="155"/>
        <w:gridCol w:w="1150"/>
        <w:gridCol w:w="1150"/>
        <w:gridCol w:w="1153"/>
        <w:gridCol w:w="155"/>
        <w:gridCol w:w="155"/>
        <w:gridCol w:w="155"/>
        <w:gridCol w:w="179"/>
        <w:gridCol w:w="179"/>
        <w:gridCol w:w="181"/>
        <w:gridCol w:w="486"/>
        <w:gridCol w:w="486"/>
        <w:gridCol w:w="692"/>
      </w:tblGrid>
      <w:tr>
        <w:trPr/>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4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34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 CARLTON FORD, IV</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r>
      <w:tr>
        <w:trPr/>
        <w:tc>
          <w:tcPr>
            <w:tcW w:w="44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Earl Carlton Ford, IV</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7358/000181735825000102/exhibit32.htm" TargetMode="External"/><Relationship Id="rId4" Type="http://schemas.openxmlformats.org/officeDocument/2006/relationships/hyperlink" Target="https://www.sec.gov/Archives/edgar/data/1817358/000181735825000015/ex31aso-revcleanamendedand.htm" TargetMode="External"/><Relationship Id="rId5" Type="http://schemas.openxmlformats.org/officeDocument/2006/relationships/hyperlink" Target="https://www.sec.gov/Archives/edgar/data/1817358/000114036126021318/ef20073235_ex4-1.htm" TargetMode="External"/><Relationship Id="rId6" Type="http://schemas.openxmlformats.org/officeDocument/2006/relationships/hyperlink" Target="https://www.sec.gov/Archives/edgar/data/1817358/000114036126021318/ef20073235_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18274</Words>
  <Characters>101465</Characters>
  <CharactersWithSpaces>118635</CharactersWithSpaces>
  <Paragraphs>2158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