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Johnson Samuel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245 Summer Street</w:t>
              <w:br/>
              <w:t>Boston   MA   02110</w:t>
            </w:r>
          </w:p>
        </w:tc>
        <w:tc>
          <w:tcPr>
            <w:tcW w:w="1159" w:type="dxa"/>
            <w:tcBorders/>
            <w:vAlign w:val="center"/>
          </w:tcPr>
          <w:p>
            <w:pPr>
              <w:pStyle w:val="TableContents"/>
              <w:bidi w:val="0"/>
              <w:spacing w:before="0" w:after="283"/>
              <w:jc w:val="left"/>
              <w:rPr/>
            </w:pPr>
            <w:r>
              <w:rPr/>
              <w:t>70303</w:t>
            </w:r>
          </w:p>
        </w:tc>
        <w:tc>
          <w:tcPr>
            <w:tcW w:w="1452" w:type="dxa"/>
            <w:tcBorders/>
            <w:vAlign w:val="center"/>
          </w:tcPr>
          <w:p>
            <w:pPr>
              <w:pStyle w:val="TableContents"/>
              <w:bidi w:val="0"/>
              <w:spacing w:before="0" w:after="283"/>
              <w:jc w:val="left"/>
              <w:rPr/>
            </w:pPr>
            <w:r>
              <w:rPr/>
              <w:t>3750665.05</w:t>
            </w:r>
          </w:p>
        </w:tc>
        <w:tc>
          <w:tcPr>
            <w:tcW w:w="1544" w:type="dxa"/>
            <w:tcBorders/>
            <w:vAlign w:val="center"/>
          </w:tcPr>
          <w:p>
            <w:pPr>
              <w:pStyle w:val="TableContents"/>
              <w:bidi w:val="0"/>
              <w:spacing w:before="0" w:after="283"/>
              <w:jc w:val="left"/>
              <w:rPr/>
            </w:pPr>
            <w:r>
              <w:rPr/>
              <w:t>61578891</w:t>
            </w:r>
          </w:p>
        </w:tc>
        <w:tc>
          <w:tcPr>
            <w:tcW w:w="1562" w:type="dxa"/>
            <w:tcBorders/>
            <w:vAlign w:val="center"/>
          </w:tcPr>
          <w:p>
            <w:pPr>
              <w:pStyle w:val="TableContents"/>
              <w:bidi w:val="0"/>
              <w:spacing w:before="0" w:after="283"/>
              <w:jc w:val="left"/>
              <w:rPr/>
            </w:pPr>
            <w:r>
              <w:rPr/>
              <w:t>09/14/2026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05/10/2021</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70303</w:t>
            </w:r>
          </w:p>
        </w:tc>
        <w:tc>
          <w:tcPr>
            <w:tcW w:w="1046" w:type="dxa"/>
            <w:tcBorders/>
            <w:vAlign w:val="center"/>
          </w:tcPr>
          <w:p>
            <w:pPr>
              <w:pStyle w:val="TableContents"/>
              <w:bidi w:val="0"/>
              <w:spacing w:before="0" w:after="283"/>
              <w:jc w:val="left"/>
              <w:rPr/>
            </w:pPr>
            <w:r>
              <w:rPr/>
              <w:t>05/10/2021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283"/>
              <w:jc w:val="left"/>
              <w:rPr>
                <w:sz w:val="4"/>
                <w:szCs w:val="4"/>
              </w:rPr>
            </w:pPr>
            <w:r>
              <w:rPr>
                <w:sz w:val="4"/>
                <w:szCs w:val="4"/>
              </w:rPr>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Christian Nasser as a duly authorized representative of Fidelity Brokerage Services LLC, as attorney-in-fact for Samuel Johnson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2973</Characters>
  <CharactersWithSpaces>3506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